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0944" w14:textId="3CDFE1AB" w:rsidR="0012388D" w:rsidRDefault="00772BDC" w:rsidP="00CA5734">
      <w:pPr>
        <w:rPr>
          <w:rFonts w:cs="Arial"/>
        </w:rPr>
      </w:pPr>
      <w:r>
        <w:rPr>
          <w:rFonts w:cs="Arial"/>
          <w:noProof/>
          <w:lang w:eastAsia="en-GB" w:bidi="ar-SA"/>
        </w:rPr>
        <w:drawing>
          <wp:inline distT="0" distB="0" distL="0" distR="0" wp14:anchorId="2078776B" wp14:editId="73E1359C">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EF2262F" w14:textId="77777777" w:rsidR="00A671E6" w:rsidRPr="00A671E6" w:rsidRDefault="00A671E6" w:rsidP="00A671E6">
      <w:pPr>
        <w:rPr>
          <w:color w:val="FF0000"/>
        </w:rPr>
      </w:pPr>
    </w:p>
    <w:p w14:paraId="4AAFA08E" w14:textId="4D7CF0F7" w:rsidR="00A671E6" w:rsidRPr="007B6939" w:rsidRDefault="007B6939" w:rsidP="00A671E6">
      <w:pPr>
        <w:rPr>
          <w:b/>
          <w:sz w:val="28"/>
          <w:szCs w:val="28"/>
        </w:rPr>
      </w:pPr>
      <w:r w:rsidRPr="007B6939">
        <w:rPr>
          <w:b/>
          <w:sz w:val="28"/>
          <w:szCs w:val="28"/>
        </w:rPr>
        <w:t>5 May 2023</w:t>
      </w:r>
    </w:p>
    <w:p w14:paraId="4EAF4C5D" w14:textId="76795196" w:rsidR="00A671E6" w:rsidRPr="007B6939" w:rsidRDefault="007B6939" w:rsidP="00A671E6">
      <w:pPr>
        <w:rPr>
          <w:b/>
          <w:sz w:val="28"/>
          <w:szCs w:val="28"/>
        </w:rPr>
      </w:pPr>
      <w:r w:rsidRPr="007B6939">
        <w:rPr>
          <w:b/>
          <w:sz w:val="28"/>
          <w:szCs w:val="28"/>
        </w:rPr>
        <w:t>240-23</w:t>
      </w:r>
    </w:p>
    <w:p w14:paraId="36117164" w14:textId="77777777" w:rsidR="00A671E6" w:rsidRPr="007B6939" w:rsidRDefault="00A671E6" w:rsidP="00A671E6"/>
    <w:p w14:paraId="5637C87E" w14:textId="7AA44AA8" w:rsidR="0012388D" w:rsidRPr="0054132F"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w:t>
      </w:r>
      <w:r w:rsidR="0054132F">
        <w:t xml:space="preserve"> </w:t>
      </w:r>
      <w:r w:rsidR="00CA5734" w:rsidRPr="0054132F">
        <w:t>P</w:t>
      </w:r>
      <w:r w:rsidR="00DD265C" w:rsidRPr="0054132F">
        <w:t>roposal</w:t>
      </w:r>
      <w:r w:rsidR="00CA5734" w:rsidRPr="0054132F">
        <w:t xml:space="preserve"> </w:t>
      </w:r>
      <w:r w:rsidR="0054132F" w:rsidRPr="0054132F">
        <w:t>P1061</w:t>
      </w:r>
    </w:p>
    <w:p w14:paraId="35136855" w14:textId="77777777" w:rsidR="003A7B84" w:rsidRPr="0054132F" w:rsidRDefault="003A7B84" w:rsidP="00A671E6"/>
    <w:p w14:paraId="590FBB41" w14:textId="50F86E1B" w:rsidR="003A7B84" w:rsidRPr="0054132F" w:rsidRDefault="0054132F" w:rsidP="00871116">
      <w:pPr>
        <w:pBdr>
          <w:bottom w:val="single" w:sz="12" w:space="1" w:color="auto"/>
        </w:pBdr>
        <w:tabs>
          <w:tab w:val="left" w:pos="1140"/>
        </w:tabs>
        <w:rPr>
          <w:rFonts w:cs="Tahoma"/>
          <w:bCs/>
          <w:sz w:val="32"/>
        </w:rPr>
      </w:pPr>
      <w:r w:rsidRPr="0054132F">
        <w:rPr>
          <w:rFonts w:cs="Tahoma"/>
          <w:bCs/>
          <w:sz w:val="32"/>
        </w:rPr>
        <w:t>Code Maintenance Proposal 2023</w:t>
      </w:r>
    </w:p>
    <w:p w14:paraId="16F19155" w14:textId="77777777" w:rsidR="0054132F" w:rsidRPr="00E327A6" w:rsidRDefault="0054132F" w:rsidP="00871116">
      <w:pPr>
        <w:pBdr>
          <w:bottom w:val="single" w:sz="12" w:space="1" w:color="auto"/>
        </w:pBdr>
        <w:tabs>
          <w:tab w:val="left" w:pos="1140"/>
        </w:tabs>
        <w:rPr>
          <w:rFonts w:cs="Arial"/>
          <w:bCs/>
        </w:rPr>
      </w:pPr>
    </w:p>
    <w:p w14:paraId="4B8F9271" w14:textId="77777777" w:rsidR="003A7B84" w:rsidRPr="00E327A6" w:rsidRDefault="003A7B84" w:rsidP="003A7B84"/>
    <w:p w14:paraId="249F5027" w14:textId="77777777" w:rsidR="006016BA" w:rsidRDefault="000F3CFE" w:rsidP="00E30C60">
      <w:r>
        <w:t>Food Standards Australia New Zealand (FSANZ) has</w:t>
      </w:r>
      <w:r w:rsidR="00081B0A">
        <w:t xml:space="preserve"> </w:t>
      </w:r>
      <w:r w:rsidR="00762D30">
        <w:t xml:space="preserve">approved </w:t>
      </w:r>
      <w:r w:rsidR="00787380" w:rsidRPr="00787380">
        <w:t>amendments</w:t>
      </w:r>
      <w:r w:rsidR="00E30C60">
        <w:t xml:space="preserve"> to the Australia New Zealand Food Standards Code</w:t>
      </w:r>
      <w:r w:rsidR="00787380" w:rsidRPr="00787380">
        <w:t xml:space="preserve"> </w:t>
      </w:r>
      <w:r w:rsidR="00DD3CE3">
        <w:t xml:space="preserve">(the Code) </w:t>
      </w:r>
      <w:r w:rsidR="007461B9">
        <w:t>to:</w:t>
      </w:r>
    </w:p>
    <w:p w14:paraId="64812247" w14:textId="77777777" w:rsidR="006016BA" w:rsidRDefault="00787380" w:rsidP="006016BA">
      <w:pPr>
        <w:pStyle w:val="ListParagraph"/>
        <w:numPr>
          <w:ilvl w:val="0"/>
          <w:numId w:val="15"/>
        </w:numPr>
      </w:pPr>
      <w:r w:rsidRPr="00787380">
        <w:t>correct typographical errors, omissions, inconsistencies and formatting issues;</w:t>
      </w:r>
    </w:p>
    <w:p w14:paraId="47D4BA8C" w14:textId="77777777" w:rsidR="006016BA" w:rsidRPr="006016BA" w:rsidRDefault="00787380" w:rsidP="006016BA">
      <w:pPr>
        <w:pStyle w:val="ListParagraph"/>
        <w:numPr>
          <w:ilvl w:val="0"/>
          <w:numId w:val="15"/>
        </w:numPr>
        <w:rPr>
          <w:rFonts w:cs="Arial"/>
          <w:szCs w:val="22"/>
        </w:rPr>
      </w:pPr>
      <w:r w:rsidRPr="00787380">
        <w:t>updat</w:t>
      </w:r>
      <w:r w:rsidR="007461B9">
        <w:t>e</w:t>
      </w:r>
      <w:r w:rsidRPr="00787380">
        <w:t xml:space="preserve"> references; </w:t>
      </w:r>
      <w:r w:rsidR="002169FF" w:rsidRPr="006016BA">
        <w:rPr>
          <w:rFonts w:cs="Arial"/>
          <w:szCs w:val="22"/>
        </w:rPr>
        <w:t>and</w:t>
      </w:r>
    </w:p>
    <w:p w14:paraId="5DF1CD1E" w14:textId="0277C532" w:rsidR="00EB6590" w:rsidRDefault="002169FF" w:rsidP="006016BA">
      <w:pPr>
        <w:pStyle w:val="ListParagraph"/>
        <w:numPr>
          <w:ilvl w:val="0"/>
          <w:numId w:val="15"/>
        </w:numPr>
      </w:pPr>
      <w:r w:rsidRPr="006016BA">
        <w:rPr>
          <w:rFonts w:cs="Arial"/>
          <w:szCs w:val="22"/>
        </w:rPr>
        <w:t xml:space="preserve">amend editorial Notes to reflect the New Zealand Government’s decision to adopt in New Zealand the Code's provisions relating to folic acid fortification. These </w:t>
      </w:r>
      <w:r w:rsidR="00292BAA" w:rsidRPr="006016BA">
        <w:rPr>
          <w:rFonts w:cs="Arial"/>
          <w:szCs w:val="22"/>
        </w:rPr>
        <w:t xml:space="preserve">provisions </w:t>
      </w:r>
      <w:r w:rsidRPr="006016BA">
        <w:rPr>
          <w:rFonts w:cs="Arial"/>
          <w:szCs w:val="22"/>
        </w:rPr>
        <w:t>require the addition of folic acid to wheat flour sold as suitable for making bread to which section 2.1.1—5</w:t>
      </w:r>
      <w:r w:rsidRPr="006016BA">
        <w:rPr>
          <w:rFonts w:cs="Arial"/>
          <w:color w:val="0D4A88"/>
          <w:szCs w:val="22"/>
        </w:rPr>
        <w:t> </w:t>
      </w:r>
      <w:r w:rsidRPr="006016BA">
        <w:rPr>
          <w:rFonts w:cs="Arial"/>
          <w:szCs w:val="22"/>
        </w:rPr>
        <w:t>of the Code applies</w:t>
      </w:r>
      <w:r w:rsidR="00787380">
        <w:t>.</w:t>
      </w:r>
    </w:p>
    <w:p w14:paraId="2056F076" w14:textId="77777777" w:rsidR="00CA5734" w:rsidRDefault="00CA5734" w:rsidP="00CA5734"/>
    <w:p w14:paraId="42539C4F" w14:textId="79214B17" w:rsidR="00081B0A" w:rsidRDefault="00081B0A" w:rsidP="00CA5734">
      <w:r>
        <w:t xml:space="preserve">On </w:t>
      </w:r>
      <w:r w:rsidR="009319EC" w:rsidRPr="009319EC">
        <w:t>30 January 2023,</w:t>
      </w:r>
      <w:r w:rsidRPr="009319EC">
        <w:t xml:space="preserve"> FSANZ sought </w:t>
      </w:r>
      <w:r w:rsidR="003A7B84" w:rsidRPr="009319EC">
        <w:t xml:space="preserve">submissions </w:t>
      </w:r>
      <w:r w:rsidR="00A671E6" w:rsidRPr="009319EC">
        <w:t xml:space="preserve">on </w:t>
      </w:r>
      <w:r w:rsidR="00F526BD" w:rsidRPr="009319EC">
        <w:t xml:space="preserve">a draft </w:t>
      </w:r>
      <w:r w:rsidR="00E30092" w:rsidRPr="009319EC">
        <w:t xml:space="preserve">variation </w:t>
      </w:r>
      <w:r w:rsidR="003A7B84" w:rsidRPr="009319EC">
        <w:t xml:space="preserve">and </w:t>
      </w:r>
      <w:r w:rsidR="003A7B84">
        <w:t xml:space="preserve">published an </w:t>
      </w:r>
      <w:r w:rsidR="00EC21DF">
        <w:t>associated r</w:t>
      </w:r>
      <w:r w:rsidR="003A7B84">
        <w:t>eport</w:t>
      </w:r>
      <w:r>
        <w:t>.</w:t>
      </w:r>
      <w:r w:rsidR="00F526BD">
        <w:t xml:space="preserve"> FSANZ received </w:t>
      </w:r>
      <w:r w:rsidR="00191B78" w:rsidRPr="00A205A9">
        <w:t>four</w:t>
      </w:r>
      <w:r w:rsidR="00F526BD">
        <w:t xml:space="preserve"> submissions.</w:t>
      </w:r>
    </w:p>
    <w:p w14:paraId="1CA05A71" w14:textId="77777777" w:rsidR="00CA5734" w:rsidRDefault="00CA5734" w:rsidP="00CA5734"/>
    <w:p w14:paraId="4EBA6F6D" w14:textId="6B44BD21" w:rsidR="00081B0A" w:rsidRPr="007B6939" w:rsidRDefault="00081B0A" w:rsidP="00CA5734">
      <w:r>
        <w:t xml:space="preserve">FSANZ approved the draft </w:t>
      </w:r>
      <w:r w:rsidR="00E30092" w:rsidRPr="007B6939">
        <w:t xml:space="preserve">variation </w:t>
      </w:r>
      <w:r w:rsidR="007B6939" w:rsidRPr="007B6939">
        <w:t>26 April 2023</w:t>
      </w:r>
      <w:r w:rsidRPr="007B6939">
        <w:t xml:space="preserve">. </w:t>
      </w:r>
      <w:r w:rsidR="003A7B84" w:rsidRPr="007B6939">
        <w:t xml:space="preserve">The </w:t>
      </w:r>
      <w:r w:rsidR="00167F09" w:rsidRPr="007B6939">
        <w:rPr>
          <w:rFonts w:cs="Helvetica"/>
          <w:lang w:val="en-AU"/>
        </w:rPr>
        <w:t>Food Ministers’ Meeting</w:t>
      </w:r>
      <w:r w:rsidR="00C4253D" w:rsidRPr="007B6939">
        <w:rPr>
          <w:rStyle w:val="FootnoteReference"/>
          <w:rFonts w:cs="Helvetica"/>
          <w:lang w:val="en-AU"/>
        </w:rPr>
        <w:footnoteReference w:id="2"/>
      </w:r>
      <w:r w:rsidR="00167F09" w:rsidRPr="007B6939">
        <w:rPr>
          <w:rFonts w:cs="Helvetica"/>
          <w:lang w:val="en-AU"/>
        </w:rPr>
        <w:t xml:space="preserve"> was</w:t>
      </w:r>
      <w:r w:rsidR="003A7B84" w:rsidRPr="007B6939">
        <w:t xml:space="preserve"> notified of FSANZ’s decision on</w:t>
      </w:r>
      <w:r w:rsidR="007B6939" w:rsidRPr="007B6939">
        <w:t xml:space="preserve"> 5 May 2023</w:t>
      </w:r>
      <w:r w:rsidR="003A7B84" w:rsidRPr="007B6939">
        <w:t>.</w:t>
      </w:r>
    </w:p>
    <w:p w14:paraId="61518249" w14:textId="77777777" w:rsidR="00CA5734" w:rsidRPr="007B6939" w:rsidRDefault="00CA5734" w:rsidP="00CA5734"/>
    <w:p w14:paraId="0F00149F" w14:textId="105D960A" w:rsidR="00081B0A" w:rsidRDefault="003A7B84" w:rsidP="00292B9B">
      <w:r>
        <w:t>This R</w:t>
      </w:r>
      <w:r w:rsidR="00B425AA">
        <w:t xml:space="preserve">eport is provided pursuant to </w:t>
      </w:r>
      <w:r w:rsidR="009A2699">
        <w:t>paragraph</w:t>
      </w:r>
      <w:r w:rsidR="00081B0A">
        <w:t xml:space="preserve"> </w:t>
      </w:r>
      <w:r w:rsidR="00F33470" w:rsidRPr="009319EC">
        <w:t>63(1)(b)</w:t>
      </w:r>
      <w:r w:rsidR="00081B0A" w:rsidRPr="009319EC">
        <w:t xml:space="preserve"> of </w:t>
      </w:r>
      <w:r w:rsidR="00081B0A">
        <w:t xml:space="preserve">the </w:t>
      </w:r>
      <w:r w:rsidR="00081B0A" w:rsidRPr="0012388D">
        <w:rPr>
          <w:i/>
        </w:rPr>
        <w:t>Food Standards Australia New Zealand Act 1991</w:t>
      </w:r>
      <w:r w:rsidR="00081B0A">
        <w:t xml:space="preserve"> (the FSANZ Act).</w:t>
      </w:r>
    </w:p>
    <w:p w14:paraId="1123D308" w14:textId="77777777" w:rsidR="00F526BD" w:rsidRDefault="00F526BD" w:rsidP="00A671E6"/>
    <w:p w14:paraId="2663A762" w14:textId="77777777" w:rsidR="00EB6590" w:rsidRDefault="00EB6590" w:rsidP="00F526BD"/>
    <w:p w14:paraId="58192D65" w14:textId="77777777" w:rsidR="00A671E6" w:rsidRDefault="00A671E6" w:rsidP="00CC5468">
      <w:pPr>
        <w:sectPr w:rsidR="00A671E6" w:rsidSect="00EB576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p>
    <w:p w14:paraId="58EF70E1"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74CA44DF" w14:textId="77777777" w:rsidR="00CE59AA" w:rsidRPr="00346622" w:rsidRDefault="00CE59AA" w:rsidP="00CE59AA">
      <w:pPr>
        <w:rPr>
          <w:rFonts w:cs="Arial"/>
          <w:sz w:val="20"/>
          <w:szCs w:val="20"/>
        </w:rPr>
      </w:pPr>
    </w:p>
    <w:p w14:paraId="4DDE2A56" w14:textId="18DF3BC6" w:rsidR="00AF6E40" w:rsidRDefault="00B55714">
      <w:pPr>
        <w:pStyle w:val="TOC1"/>
        <w:rPr>
          <w:rFonts w:eastAsiaTheme="minorEastAsia" w:cstheme="minorBidi"/>
          <w:b w:val="0"/>
          <w:bCs w:val="0"/>
          <w:caps w:val="0"/>
          <w:noProof/>
          <w:sz w:val="22"/>
          <w:szCs w:val="22"/>
          <w:lang w:val="en-NZ" w:eastAsia="en-NZ" w:bidi="ar-SA"/>
        </w:rPr>
      </w:pPr>
      <w:r w:rsidRPr="00346622">
        <w:rPr>
          <w:rFonts w:ascii="Arial" w:hAnsi="Arial" w:cs="Arial"/>
          <w:smallCaps/>
        </w:rPr>
        <w:fldChar w:fldCharType="begin"/>
      </w:r>
      <w:r w:rsidRPr="00346622">
        <w:rPr>
          <w:rFonts w:ascii="Arial" w:hAnsi="Arial" w:cs="Arial"/>
        </w:rPr>
        <w:instrText xml:space="preserve"> TOC \h \z \t "Heading 1,1,Heading 2,2,Heading 3,3" </w:instrText>
      </w:r>
      <w:r w:rsidRPr="00346622">
        <w:rPr>
          <w:rFonts w:ascii="Arial" w:hAnsi="Arial" w:cs="Arial"/>
          <w:smallCaps/>
        </w:rPr>
        <w:fldChar w:fldCharType="separate"/>
      </w:r>
      <w:hyperlink w:anchor="_Toc134451268" w:history="1">
        <w:r w:rsidR="00AF6E40" w:rsidRPr="00737A37">
          <w:rPr>
            <w:rStyle w:val="Hyperlink"/>
            <w:noProof/>
          </w:rPr>
          <w:t>Executive summary</w:t>
        </w:r>
        <w:r w:rsidR="00AF6E40">
          <w:rPr>
            <w:noProof/>
            <w:webHidden/>
          </w:rPr>
          <w:tab/>
        </w:r>
        <w:r w:rsidR="00AF6E40">
          <w:rPr>
            <w:noProof/>
            <w:webHidden/>
          </w:rPr>
          <w:fldChar w:fldCharType="begin"/>
        </w:r>
        <w:r w:rsidR="00AF6E40">
          <w:rPr>
            <w:noProof/>
            <w:webHidden/>
          </w:rPr>
          <w:instrText xml:space="preserve"> PAGEREF _Toc134451268 \h </w:instrText>
        </w:r>
        <w:r w:rsidR="00AF6E40">
          <w:rPr>
            <w:noProof/>
            <w:webHidden/>
          </w:rPr>
        </w:r>
        <w:r w:rsidR="00AF6E40">
          <w:rPr>
            <w:noProof/>
            <w:webHidden/>
          </w:rPr>
          <w:fldChar w:fldCharType="separate"/>
        </w:r>
        <w:r w:rsidR="00A70646">
          <w:rPr>
            <w:noProof/>
            <w:webHidden/>
          </w:rPr>
          <w:t>2</w:t>
        </w:r>
        <w:r w:rsidR="00AF6E40">
          <w:rPr>
            <w:noProof/>
            <w:webHidden/>
          </w:rPr>
          <w:fldChar w:fldCharType="end"/>
        </w:r>
      </w:hyperlink>
    </w:p>
    <w:p w14:paraId="5F0B0A52" w14:textId="4776E852" w:rsidR="00AF6E40" w:rsidRDefault="00000000">
      <w:pPr>
        <w:pStyle w:val="TOC1"/>
        <w:tabs>
          <w:tab w:val="left" w:pos="440"/>
        </w:tabs>
        <w:rPr>
          <w:rFonts w:eastAsiaTheme="minorEastAsia" w:cstheme="minorBidi"/>
          <w:b w:val="0"/>
          <w:bCs w:val="0"/>
          <w:caps w:val="0"/>
          <w:noProof/>
          <w:sz w:val="22"/>
          <w:szCs w:val="22"/>
          <w:lang w:val="en-NZ" w:eastAsia="en-NZ" w:bidi="ar-SA"/>
        </w:rPr>
      </w:pPr>
      <w:hyperlink w:anchor="_Toc134451269" w:history="1">
        <w:r w:rsidR="00AF6E40" w:rsidRPr="00737A37">
          <w:rPr>
            <w:rStyle w:val="Hyperlink"/>
            <w:noProof/>
          </w:rPr>
          <w:t>1</w:t>
        </w:r>
        <w:r w:rsidR="00AF6E40">
          <w:rPr>
            <w:rFonts w:eastAsiaTheme="minorEastAsia" w:cstheme="minorBidi"/>
            <w:b w:val="0"/>
            <w:bCs w:val="0"/>
            <w:caps w:val="0"/>
            <w:noProof/>
            <w:sz w:val="22"/>
            <w:szCs w:val="22"/>
            <w:lang w:val="en-NZ" w:eastAsia="en-NZ" w:bidi="ar-SA"/>
          </w:rPr>
          <w:tab/>
        </w:r>
        <w:r w:rsidR="00AF6E40" w:rsidRPr="00737A37">
          <w:rPr>
            <w:rStyle w:val="Hyperlink"/>
            <w:noProof/>
          </w:rPr>
          <w:t>Introduction</w:t>
        </w:r>
        <w:r w:rsidR="00AF6E40">
          <w:rPr>
            <w:noProof/>
            <w:webHidden/>
          </w:rPr>
          <w:tab/>
        </w:r>
        <w:r w:rsidR="00AF6E40">
          <w:rPr>
            <w:noProof/>
            <w:webHidden/>
          </w:rPr>
          <w:fldChar w:fldCharType="begin"/>
        </w:r>
        <w:r w:rsidR="00AF6E40">
          <w:rPr>
            <w:noProof/>
            <w:webHidden/>
          </w:rPr>
          <w:instrText xml:space="preserve"> PAGEREF _Toc134451269 \h </w:instrText>
        </w:r>
        <w:r w:rsidR="00AF6E40">
          <w:rPr>
            <w:noProof/>
            <w:webHidden/>
          </w:rPr>
        </w:r>
        <w:r w:rsidR="00AF6E40">
          <w:rPr>
            <w:noProof/>
            <w:webHidden/>
          </w:rPr>
          <w:fldChar w:fldCharType="separate"/>
        </w:r>
        <w:r w:rsidR="00A70646">
          <w:rPr>
            <w:noProof/>
            <w:webHidden/>
          </w:rPr>
          <w:t>3</w:t>
        </w:r>
        <w:r w:rsidR="00AF6E40">
          <w:rPr>
            <w:noProof/>
            <w:webHidden/>
          </w:rPr>
          <w:fldChar w:fldCharType="end"/>
        </w:r>
      </w:hyperlink>
    </w:p>
    <w:p w14:paraId="4597C6E7" w14:textId="2D506353" w:rsidR="00AF6E40" w:rsidRDefault="00000000">
      <w:pPr>
        <w:pStyle w:val="TOC2"/>
        <w:rPr>
          <w:rFonts w:eastAsiaTheme="minorEastAsia" w:cstheme="minorBidi"/>
          <w:smallCaps w:val="0"/>
          <w:noProof/>
          <w:sz w:val="22"/>
          <w:szCs w:val="22"/>
          <w:lang w:val="en-NZ" w:eastAsia="en-NZ" w:bidi="ar-SA"/>
        </w:rPr>
      </w:pPr>
      <w:hyperlink w:anchor="_Toc134451270" w:history="1">
        <w:r w:rsidR="00AF6E40" w:rsidRPr="00737A37">
          <w:rPr>
            <w:rStyle w:val="Hyperlink"/>
            <w:noProof/>
          </w:rPr>
          <w:t>1.1</w:t>
        </w:r>
        <w:r w:rsidR="00AF6E40">
          <w:rPr>
            <w:rFonts w:eastAsiaTheme="minorEastAsia" w:cstheme="minorBidi"/>
            <w:smallCaps w:val="0"/>
            <w:noProof/>
            <w:sz w:val="22"/>
            <w:szCs w:val="22"/>
            <w:lang w:val="en-NZ" w:eastAsia="en-NZ" w:bidi="ar-SA"/>
          </w:rPr>
          <w:tab/>
        </w:r>
        <w:r w:rsidR="00AF6E40" w:rsidRPr="00737A37">
          <w:rPr>
            <w:rStyle w:val="Hyperlink"/>
            <w:noProof/>
          </w:rPr>
          <w:t>The Proposal</w:t>
        </w:r>
        <w:r w:rsidR="00AF6E40">
          <w:rPr>
            <w:noProof/>
            <w:webHidden/>
          </w:rPr>
          <w:tab/>
        </w:r>
        <w:r w:rsidR="00AF6E40">
          <w:rPr>
            <w:noProof/>
            <w:webHidden/>
          </w:rPr>
          <w:fldChar w:fldCharType="begin"/>
        </w:r>
        <w:r w:rsidR="00AF6E40">
          <w:rPr>
            <w:noProof/>
            <w:webHidden/>
          </w:rPr>
          <w:instrText xml:space="preserve"> PAGEREF _Toc134451270 \h </w:instrText>
        </w:r>
        <w:r w:rsidR="00AF6E40">
          <w:rPr>
            <w:noProof/>
            <w:webHidden/>
          </w:rPr>
        </w:r>
        <w:r w:rsidR="00AF6E40">
          <w:rPr>
            <w:noProof/>
            <w:webHidden/>
          </w:rPr>
          <w:fldChar w:fldCharType="separate"/>
        </w:r>
        <w:r w:rsidR="00A70646">
          <w:rPr>
            <w:noProof/>
            <w:webHidden/>
          </w:rPr>
          <w:t>3</w:t>
        </w:r>
        <w:r w:rsidR="00AF6E40">
          <w:rPr>
            <w:noProof/>
            <w:webHidden/>
          </w:rPr>
          <w:fldChar w:fldCharType="end"/>
        </w:r>
      </w:hyperlink>
    </w:p>
    <w:p w14:paraId="6AB660F6" w14:textId="7B84A370" w:rsidR="00AF6E40" w:rsidRDefault="00000000">
      <w:pPr>
        <w:pStyle w:val="TOC2"/>
        <w:rPr>
          <w:rFonts w:eastAsiaTheme="minorEastAsia" w:cstheme="minorBidi"/>
          <w:smallCaps w:val="0"/>
          <w:noProof/>
          <w:sz w:val="22"/>
          <w:szCs w:val="22"/>
          <w:lang w:val="en-NZ" w:eastAsia="en-NZ" w:bidi="ar-SA"/>
        </w:rPr>
      </w:pPr>
      <w:hyperlink w:anchor="_Toc134451271" w:history="1">
        <w:r w:rsidR="00AF6E40" w:rsidRPr="00737A37">
          <w:rPr>
            <w:rStyle w:val="Hyperlink"/>
            <w:noProof/>
          </w:rPr>
          <w:t>1.2</w:t>
        </w:r>
        <w:r w:rsidR="00AF6E40">
          <w:rPr>
            <w:rFonts w:eastAsiaTheme="minorEastAsia" w:cstheme="minorBidi"/>
            <w:smallCaps w:val="0"/>
            <w:noProof/>
            <w:sz w:val="22"/>
            <w:szCs w:val="22"/>
            <w:lang w:val="en-NZ" w:eastAsia="en-NZ" w:bidi="ar-SA"/>
          </w:rPr>
          <w:tab/>
        </w:r>
        <w:r w:rsidR="00AF6E40" w:rsidRPr="00737A37">
          <w:rPr>
            <w:rStyle w:val="Hyperlink"/>
            <w:noProof/>
          </w:rPr>
          <w:t>The current Standard</w:t>
        </w:r>
        <w:r w:rsidR="00AF6E40">
          <w:rPr>
            <w:noProof/>
            <w:webHidden/>
          </w:rPr>
          <w:tab/>
        </w:r>
        <w:r w:rsidR="00AF6E40">
          <w:rPr>
            <w:noProof/>
            <w:webHidden/>
          </w:rPr>
          <w:fldChar w:fldCharType="begin"/>
        </w:r>
        <w:r w:rsidR="00AF6E40">
          <w:rPr>
            <w:noProof/>
            <w:webHidden/>
          </w:rPr>
          <w:instrText xml:space="preserve"> PAGEREF _Toc134451271 \h </w:instrText>
        </w:r>
        <w:r w:rsidR="00AF6E40">
          <w:rPr>
            <w:noProof/>
            <w:webHidden/>
          </w:rPr>
        </w:r>
        <w:r w:rsidR="00AF6E40">
          <w:rPr>
            <w:noProof/>
            <w:webHidden/>
          </w:rPr>
          <w:fldChar w:fldCharType="separate"/>
        </w:r>
        <w:r w:rsidR="00A70646">
          <w:rPr>
            <w:noProof/>
            <w:webHidden/>
          </w:rPr>
          <w:t>3</w:t>
        </w:r>
        <w:r w:rsidR="00AF6E40">
          <w:rPr>
            <w:noProof/>
            <w:webHidden/>
          </w:rPr>
          <w:fldChar w:fldCharType="end"/>
        </w:r>
      </w:hyperlink>
    </w:p>
    <w:p w14:paraId="71B29D6C" w14:textId="6417ABFD" w:rsidR="00AF6E40" w:rsidRDefault="00000000">
      <w:pPr>
        <w:pStyle w:val="TOC2"/>
        <w:rPr>
          <w:rFonts w:eastAsiaTheme="minorEastAsia" w:cstheme="minorBidi"/>
          <w:smallCaps w:val="0"/>
          <w:noProof/>
          <w:sz w:val="22"/>
          <w:szCs w:val="22"/>
          <w:lang w:val="en-NZ" w:eastAsia="en-NZ" w:bidi="ar-SA"/>
        </w:rPr>
      </w:pPr>
      <w:hyperlink w:anchor="_Toc134451272" w:history="1">
        <w:r w:rsidR="00AF6E40" w:rsidRPr="00737A37">
          <w:rPr>
            <w:rStyle w:val="Hyperlink"/>
            <w:noProof/>
          </w:rPr>
          <w:t>1.3</w:t>
        </w:r>
        <w:r w:rsidR="00AF6E40">
          <w:rPr>
            <w:rFonts w:eastAsiaTheme="minorEastAsia" w:cstheme="minorBidi"/>
            <w:smallCaps w:val="0"/>
            <w:noProof/>
            <w:sz w:val="22"/>
            <w:szCs w:val="22"/>
            <w:lang w:val="en-NZ" w:eastAsia="en-NZ" w:bidi="ar-SA"/>
          </w:rPr>
          <w:tab/>
        </w:r>
        <w:r w:rsidR="00AF6E40" w:rsidRPr="00737A37">
          <w:rPr>
            <w:rStyle w:val="Hyperlink"/>
            <w:noProof/>
          </w:rPr>
          <w:t>Reasons for preparing the Proposal</w:t>
        </w:r>
        <w:r w:rsidR="00AF6E40">
          <w:rPr>
            <w:noProof/>
            <w:webHidden/>
          </w:rPr>
          <w:tab/>
        </w:r>
        <w:r w:rsidR="00AF6E40">
          <w:rPr>
            <w:noProof/>
            <w:webHidden/>
          </w:rPr>
          <w:fldChar w:fldCharType="begin"/>
        </w:r>
        <w:r w:rsidR="00AF6E40">
          <w:rPr>
            <w:noProof/>
            <w:webHidden/>
          </w:rPr>
          <w:instrText xml:space="preserve"> PAGEREF _Toc134451272 \h </w:instrText>
        </w:r>
        <w:r w:rsidR="00AF6E40">
          <w:rPr>
            <w:noProof/>
            <w:webHidden/>
          </w:rPr>
        </w:r>
        <w:r w:rsidR="00AF6E40">
          <w:rPr>
            <w:noProof/>
            <w:webHidden/>
          </w:rPr>
          <w:fldChar w:fldCharType="separate"/>
        </w:r>
        <w:r w:rsidR="00A70646">
          <w:rPr>
            <w:noProof/>
            <w:webHidden/>
          </w:rPr>
          <w:t>3</w:t>
        </w:r>
        <w:r w:rsidR="00AF6E40">
          <w:rPr>
            <w:noProof/>
            <w:webHidden/>
          </w:rPr>
          <w:fldChar w:fldCharType="end"/>
        </w:r>
      </w:hyperlink>
    </w:p>
    <w:p w14:paraId="6C4E3330" w14:textId="2D26B17B" w:rsidR="00AF6E40" w:rsidRDefault="00000000">
      <w:pPr>
        <w:pStyle w:val="TOC2"/>
        <w:rPr>
          <w:rFonts w:eastAsiaTheme="minorEastAsia" w:cstheme="minorBidi"/>
          <w:smallCaps w:val="0"/>
          <w:noProof/>
          <w:sz w:val="22"/>
          <w:szCs w:val="22"/>
          <w:lang w:val="en-NZ" w:eastAsia="en-NZ" w:bidi="ar-SA"/>
        </w:rPr>
      </w:pPr>
      <w:hyperlink w:anchor="_Toc134451273" w:history="1">
        <w:r w:rsidR="00AF6E40" w:rsidRPr="00737A37">
          <w:rPr>
            <w:rStyle w:val="Hyperlink"/>
            <w:noProof/>
          </w:rPr>
          <w:t>1.4</w:t>
        </w:r>
        <w:r w:rsidR="00AF6E40">
          <w:rPr>
            <w:rFonts w:eastAsiaTheme="minorEastAsia" w:cstheme="minorBidi"/>
            <w:smallCaps w:val="0"/>
            <w:noProof/>
            <w:sz w:val="22"/>
            <w:szCs w:val="22"/>
            <w:lang w:val="en-NZ" w:eastAsia="en-NZ" w:bidi="ar-SA"/>
          </w:rPr>
          <w:tab/>
        </w:r>
        <w:r w:rsidR="00AF6E40" w:rsidRPr="00737A37">
          <w:rPr>
            <w:rStyle w:val="Hyperlink"/>
            <w:noProof/>
          </w:rPr>
          <w:t>Procedure for assessment</w:t>
        </w:r>
        <w:r w:rsidR="00AF6E40">
          <w:rPr>
            <w:noProof/>
            <w:webHidden/>
          </w:rPr>
          <w:tab/>
        </w:r>
        <w:r w:rsidR="00AF6E40">
          <w:rPr>
            <w:noProof/>
            <w:webHidden/>
          </w:rPr>
          <w:fldChar w:fldCharType="begin"/>
        </w:r>
        <w:r w:rsidR="00AF6E40">
          <w:rPr>
            <w:noProof/>
            <w:webHidden/>
          </w:rPr>
          <w:instrText xml:space="preserve"> PAGEREF _Toc134451273 \h </w:instrText>
        </w:r>
        <w:r w:rsidR="00AF6E40">
          <w:rPr>
            <w:noProof/>
            <w:webHidden/>
          </w:rPr>
        </w:r>
        <w:r w:rsidR="00AF6E40">
          <w:rPr>
            <w:noProof/>
            <w:webHidden/>
          </w:rPr>
          <w:fldChar w:fldCharType="separate"/>
        </w:r>
        <w:r w:rsidR="00A70646">
          <w:rPr>
            <w:noProof/>
            <w:webHidden/>
          </w:rPr>
          <w:t>3</w:t>
        </w:r>
        <w:r w:rsidR="00AF6E40">
          <w:rPr>
            <w:noProof/>
            <w:webHidden/>
          </w:rPr>
          <w:fldChar w:fldCharType="end"/>
        </w:r>
      </w:hyperlink>
    </w:p>
    <w:p w14:paraId="0F0EBB7E" w14:textId="2A1CEB4E" w:rsidR="00AF6E40" w:rsidRDefault="00000000">
      <w:pPr>
        <w:pStyle w:val="TOC2"/>
        <w:rPr>
          <w:rFonts w:eastAsiaTheme="minorEastAsia" w:cstheme="minorBidi"/>
          <w:smallCaps w:val="0"/>
          <w:noProof/>
          <w:sz w:val="22"/>
          <w:szCs w:val="22"/>
          <w:lang w:val="en-NZ" w:eastAsia="en-NZ" w:bidi="ar-SA"/>
        </w:rPr>
      </w:pPr>
      <w:hyperlink w:anchor="_Toc134451274" w:history="1">
        <w:r w:rsidR="00AF6E40" w:rsidRPr="00737A37">
          <w:rPr>
            <w:rStyle w:val="Hyperlink"/>
            <w:noProof/>
          </w:rPr>
          <w:t>1.5</w:t>
        </w:r>
        <w:r w:rsidR="00AF6E40">
          <w:rPr>
            <w:rFonts w:eastAsiaTheme="minorEastAsia" w:cstheme="minorBidi"/>
            <w:smallCaps w:val="0"/>
            <w:noProof/>
            <w:sz w:val="22"/>
            <w:szCs w:val="22"/>
            <w:lang w:val="en-NZ" w:eastAsia="en-NZ" w:bidi="ar-SA"/>
          </w:rPr>
          <w:tab/>
        </w:r>
        <w:r w:rsidR="00AF6E40" w:rsidRPr="00737A37">
          <w:rPr>
            <w:rStyle w:val="Hyperlink"/>
            <w:noProof/>
          </w:rPr>
          <w:t>Decision</w:t>
        </w:r>
        <w:r w:rsidR="00AF6E40">
          <w:rPr>
            <w:noProof/>
            <w:webHidden/>
          </w:rPr>
          <w:tab/>
        </w:r>
        <w:r w:rsidR="00AF6E40">
          <w:rPr>
            <w:noProof/>
            <w:webHidden/>
          </w:rPr>
          <w:fldChar w:fldCharType="begin"/>
        </w:r>
        <w:r w:rsidR="00AF6E40">
          <w:rPr>
            <w:noProof/>
            <w:webHidden/>
          </w:rPr>
          <w:instrText xml:space="preserve"> PAGEREF _Toc134451274 \h </w:instrText>
        </w:r>
        <w:r w:rsidR="00AF6E40">
          <w:rPr>
            <w:noProof/>
            <w:webHidden/>
          </w:rPr>
        </w:r>
        <w:r w:rsidR="00AF6E40">
          <w:rPr>
            <w:noProof/>
            <w:webHidden/>
          </w:rPr>
          <w:fldChar w:fldCharType="separate"/>
        </w:r>
        <w:r w:rsidR="00A70646">
          <w:rPr>
            <w:noProof/>
            <w:webHidden/>
          </w:rPr>
          <w:t>3</w:t>
        </w:r>
        <w:r w:rsidR="00AF6E40">
          <w:rPr>
            <w:noProof/>
            <w:webHidden/>
          </w:rPr>
          <w:fldChar w:fldCharType="end"/>
        </w:r>
      </w:hyperlink>
    </w:p>
    <w:p w14:paraId="433B7869" w14:textId="55D2BED9" w:rsidR="00AF6E40" w:rsidRDefault="00000000">
      <w:pPr>
        <w:pStyle w:val="TOC1"/>
        <w:tabs>
          <w:tab w:val="left" w:pos="440"/>
        </w:tabs>
        <w:rPr>
          <w:rFonts w:eastAsiaTheme="minorEastAsia" w:cstheme="minorBidi"/>
          <w:b w:val="0"/>
          <w:bCs w:val="0"/>
          <w:caps w:val="0"/>
          <w:noProof/>
          <w:sz w:val="22"/>
          <w:szCs w:val="22"/>
          <w:lang w:val="en-NZ" w:eastAsia="en-NZ" w:bidi="ar-SA"/>
        </w:rPr>
      </w:pPr>
      <w:hyperlink w:anchor="_Toc134451275" w:history="1">
        <w:r w:rsidR="00AF6E40" w:rsidRPr="00737A37">
          <w:rPr>
            <w:rStyle w:val="Hyperlink"/>
            <w:noProof/>
          </w:rPr>
          <w:t>2</w:t>
        </w:r>
        <w:r w:rsidR="00AF6E40">
          <w:rPr>
            <w:rFonts w:eastAsiaTheme="minorEastAsia" w:cstheme="minorBidi"/>
            <w:b w:val="0"/>
            <w:bCs w:val="0"/>
            <w:caps w:val="0"/>
            <w:noProof/>
            <w:sz w:val="22"/>
            <w:szCs w:val="22"/>
            <w:lang w:val="en-NZ" w:eastAsia="en-NZ" w:bidi="ar-SA"/>
          </w:rPr>
          <w:tab/>
        </w:r>
        <w:r w:rsidR="00AF6E40" w:rsidRPr="00737A37">
          <w:rPr>
            <w:rStyle w:val="Hyperlink"/>
            <w:noProof/>
          </w:rPr>
          <w:t>Summary of the findings</w:t>
        </w:r>
        <w:r w:rsidR="00AF6E40">
          <w:rPr>
            <w:noProof/>
            <w:webHidden/>
          </w:rPr>
          <w:tab/>
        </w:r>
        <w:r w:rsidR="00AF6E40">
          <w:rPr>
            <w:noProof/>
            <w:webHidden/>
          </w:rPr>
          <w:fldChar w:fldCharType="begin"/>
        </w:r>
        <w:r w:rsidR="00AF6E40">
          <w:rPr>
            <w:noProof/>
            <w:webHidden/>
          </w:rPr>
          <w:instrText xml:space="preserve"> PAGEREF _Toc134451275 \h </w:instrText>
        </w:r>
        <w:r w:rsidR="00AF6E40">
          <w:rPr>
            <w:noProof/>
            <w:webHidden/>
          </w:rPr>
        </w:r>
        <w:r w:rsidR="00AF6E40">
          <w:rPr>
            <w:noProof/>
            <w:webHidden/>
          </w:rPr>
          <w:fldChar w:fldCharType="separate"/>
        </w:r>
        <w:r w:rsidR="00A70646">
          <w:rPr>
            <w:noProof/>
            <w:webHidden/>
          </w:rPr>
          <w:t>4</w:t>
        </w:r>
        <w:r w:rsidR="00AF6E40">
          <w:rPr>
            <w:noProof/>
            <w:webHidden/>
          </w:rPr>
          <w:fldChar w:fldCharType="end"/>
        </w:r>
      </w:hyperlink>
    </w:p>
    <w:p w14:paraId="5B87315B" w14:textId="72332211" w:rsidR="00AF6E40" w:rsidRDefault="00000000">
      <w:pPr>
        <w:pStyle w:val="TOC2"/>
        <w:rPr>
          <w:rFonts w:eastAsiaTheme="minorEastAsia" w:cstheme="minorBidi"/>
          <w:smallCaps w:val="0"/>
          <w:noProof/>
          <w:sz w:val="22"/>
          <w:szCs w:val="22"/>
          <w:lang w:val="en-NZ" w:eastAsia="en-NZ" w:bidi="ar-SA"/>
        </w:rPr>
      </w:pPr>
      <w:hyperlink w:anchor="_Toc134451276" w:history="1">
        <w:r w:rsidR="00AF6E40" w:rsidRPr="00737A37">
          <w:rPr>
            <w:rStyle w:val="Hyperlink"/>
            <w:noProof/>
          </w:rPr>
          <w:t>2.1</w:t>
        </w:r>
        <w:r w:rsidR="00AF6E40">
          <w:rPr>
            <w:rFonts w:eastAsiaTheme="minorEastAsia" w:cstheme="minorBidi"/>
            <w:smallCaps w:val="0"/>
            <w:noProof/>
            <w:sz w:val="22"/>
            <w:szCs w:val="22"/>
            <w:lang w:val="en-NZ" w:eastAsia="en-NZ" w:bidi="ar-SA"/>
          </w:rPr>
          <w:tab/>
        </w:r>
        <w:r w:rsidR="00AF6E40" w:rsidRPr="00737A37">
          <w:rPr>
            <w:rStyle w:val="Hyperlink"/>
            <w:noProof/>
          </w:rPr>
          <w:t>Summary of issues raised in submissions</w:t>
        </w:r>
        <w:r w:rsidR="00AF6E40">
          <w:rPr>
            <w:noProof/>
            <w:webHidden/>
          </w:rPr>
          <w:tab/>
        </w:r>
        <w:r w:rsidR="00AF6E40">
          <w:rPr>
            <w:noProof/>
            <w:webHidden/>
          </w:rPr>
          <w:fldChar w:fldCharType="begin"/>
        </w:r>
        <w:r w:rsidR="00AF6E40">
          <w:rPr>
            <w:noProof/>
            <w:webHidden/>
          </w:rPr>
          <w:instrText xml:space="preserve"> PAGEREF _Toc134451276 \h </w:instrText>
        </w:r>
        <w:r w:rsidR="00AF6E40">
          <w:rPr>
            <w:noProof/>
            <w:webHidden/>
          </w:rPr>
        </w:r>
        <w:r w:rsidR="00AF6E40">
          <w:rPr>
            <w:noProof/>
            <w:webHidden/>
          </w:rPr>
          <w:fldChar w:fldCharType="separate"/>
        </w:r>
        <w:r w:rsidR="00A70646">
          <w:rPr>
            <w:noProof/>
            <w:webHidden/>
          </w:rPr>
          <w:t>4</w:t>
        </w:r>
        <w:r w:rsidR="00AF6E40">
          <w:rPr>
            <w:noProof/>
            <w:webHidden/>
          </w:rPr>
          <w:fldChar w:fldCharType="end"/>
        </w:r>
      </w:hyperlink>
    </w:p>
    <w:p w14:paraId="6C7D4866" w14:textId="048A02DB" w:rsidR="00AF6E40" w:rsidRDefault="00000000">
      <w:pPr>
        <w:pStyle w:val="TOC2"/>
        <w:rPr>
          <w:rFonts w:eastAsiaTheme="minorEastAsia" w:cstheme="minorBidi"/>
          <w:smallCaps w:val="0"/>
          <w:noProof/>
          <w:sz w:val="22"/>
          <w:szCs w:val="22"/>
          <w:lang w:val="en-NZ" w:eastAsia="en-NZ" w:bidi="ar-SA"/>
        </w:rPr>
      </w:pPr>
      <w:hyperlink w:anchor="_Toc134451277" w:history="1">
        <w:r w:rsidR="00AF6E40" w:rsidRPr="00737A37">
          <w:rPr>
            <w:rStyle w:val="Hyperlink"/>
            <w:noProof/>
          </w:rPr>
          <w:t>2.2</w:t>
        </w:r>
        <w:r w:rsidR="00AF6E40">
          <w:rPr>
            <w:rFonts w:eastAsiaTheme="minorEastAsia" w:cstheme="minorBidi"/>
            <w:smallCaps w:val="0"/>
            <w:noProof/>
            <w:sz w:val="22"/>
            <w:szCs w:val="22"/>
            <w:lang w:val="en-NZ" w:eastAsia="en-NZ" w:bidi="ar-SA"/>
          </w:rPr>
          <w:tab/>
        </w:r>
        <w:r w:rsidR="00AF6E40" w:rsidRPr="00737A37">
          <w:rPr>
            <w:rStyle w:val="Hyperlink"/>
            <w:noProof/>
          </w:rPr>
          <w:t>Risk assessment</w:t>
        </w:r>
        <w:r w:rsidR="00AF6E40">
          <w:rPr>
            <w:noProof/>
            <w:webHidden/>
          </w:rPr>
          <w:tab/>
        </w:r>
        <w:r w:rsidR="00AF6E40">
          <w:rPr>
            <w:noProof/>
            <w:webHidden/>
          </w:rPr>
          <w:fldChar w:fldCharType="begin"/>
        </w:r>
        <w:r w:rsidR="00AF6E40">
          <w:rPr>
            <w:noProof/>
            <w:webHidden/>
          </w:rPr>
          <w:instrText xml:space="preserve"> PAGEREF _Toc134451277 \h </w:instrText>
        </w:r>
        <w:r w:rsidR="00AF6E40">
          <w:rPr>
            <w:noProof/>
            <w:webHidden/>
          </w:rPr>
        </w:r>
        <w:r w:rsidR="00AF6E40">
          <w:rPr>
            <w:noProof/>
            <w:webHidden/>
          </w:rPr>
          <w:fldChar w:fldCharType="separate"/>
        </w:r>
        <w:r w:rsidR="00A70646">
          <w:rPr>
            <w:noProof/>
            <w:webHidden/>
          </w:rPr>
          <w:t>5</w:t>
        </w:r>
        <w:r w:rsidR="00AF6E40">
          <w:rPr>
            <w:noProof/>
            <w:webHidden/>
          </w:rPr>
          <w:fldChar w:fldCharType="end"/>
        </w:r>
      </w:hyperlink>
    </w:p>
    <w:p w14:paraId="1D4F50D1" w14:textId="2C2E44D5" w:rsidR="00AF6E40" w:rsidRDefault="00000000">
      <w:pPr>
        <w:pStyle w:val="TOC2"/>
        <w:rPr>
          <w:rFonts w:eastAsiaTheme="minorEastAsia" w:cstheme="minorBidi"/>
          <w:smallCaps w:val="0"/>
          <w:noProof/>
          <w:sz w:val="22"/>
          <w:szCs w:val="22"/>
          <w:lang w:val="en-NZ" w:eastAsia="en-NZ" w:bidi="ar-SA"/>
        </w:rPr>
      </w:pPr>
      <w:hyperlink w:anchor="_Toc134451278" w:history="1">
        <w:r w:rsidR="00AF6E40" w:rsidRPr="00737A37">
          <w:rPr>
            <w:rStyle w:val="Hyperlink"/>
            <w:noProof/>
          </w:rPr>
          <w:t>2.3</w:t>
        </w:r>
        <w:r w:rsidR="00AF6E40">
          <w:rPr>
            <w:rFonts w:eastAsiaTheme="minorEastAsia" w:cstheme="minorBidi"/>
            <w:smallCaps w:val="0"/>
            <w:noProof/>
            <w:sz w:val="22"/>
            <w:szCs w:val="22"/>
            <w:lang w:val="en-NZ" w:eastAsia="en-NZ" w:bidi="ar-SA"/>
          </w:rPr>
          <w:tab/>
        </w:r>
        <w:r w:rsidR="00AF6E40" w:rsidRPr="00737A37">
          <w:rPr>
            <w:rStyle w:val="Hyperlink"/>
            <w:noProof/>
          </w:rPr>
          <w:t>Risk management</w:t>
        </w:r>
        <w:r w:rsidR="00AF6E40">
          <w:rPr>
            <w:noProof/>
            <w:webHidden/>
          </w:rPr>
          <w:tab/>
        </w:r>
        <w:r w:rsidR="00AF6E40">
          <w:rPr>
            <w:noProof/>
            <w:webHidden/>
          </w:rPr>
          <w:fldChar w:fldCharType="begin"/>
        </w:r>
        <w:r w:rsidR="00AF6E40">
          <w:rPr>
            <w:noProof/>
            <w:webHidden/>
          </w:rPr>
          <w:instrText xml:space="preserve"> PAGEREF _Toc134451278 \h </w:instrText>
        </w:r>
        <w:r w:rsidR="00AF6E40">
          <w:rPr>
            <w:noProof/>
            <w:webHidden/>
          </w:rPr>
        </w:r>
        <w:r w:rsidR="00AF6E40">
          <w:rPr>
            <w:noProof/>
            <w:webHidden/>
          </w:rPr>
          <w:fldChar w:fldCharType="separate"/>
        </w:r>
        <w:r w:rsidR="00A70646">
          <w:rPr>
            <w:noProof/>
            <w:webHidden/>
          </w:rPr>
          <w:t>6</w:t>
        </w:r>
        <w:r w:rsidR="00AF6E40">
          <w:rPr>
            <w:noProof/>
            <w:webHidden/>
          </w:rPr>
          <w:fldChar w:fldCharType="end"/>
        </w:r>
      </w:hyperlink>
    </w:p>
    <w:p w14:paraId="06DC1ACD" w14:textId="34210AE3" w:rsidR="00AF6E40" w:rsidRDefault="00000000">
      <w:pPr>
        <w:pStyle w:val="TOC2"/>
        <w:rPr>
          <w:rFonts w:eastAsiaTheme="minorEastAsia" w:cstheme="minorBidi"/>
          <w:smallCaps w:val="0"/>
          <w:noProof/>
          <w:sz w:val="22"/>
          <w:szCs w:val="22"/>
          <w:lang w:val="en-NZ" w:eastAsia="en-NZ" w:bidi="ar-SA"/>
        </w:rPr>
      </w:pPr>
      <w:hyperlink w:anchor="_Toc134451279" w:history="1">
        <w:r w:rsidR="00AF6E40" w:rsidRPr="00737A37">
          <w:rPr>
            <w:rStyle w:val="Hyperlink"/>
            <w:noProof/>
          </w:rPr>
          <w:t>2.4</w:t>
        </w:r>
        <w:r w:rsidR="00AF6E40">
          <w:rPr>
            <w:rFonts w:eastAsiaTheme="minorEastAsia" w:cstheme="minorBidi"/>
            <w:smallCaps w:val="0"/>
            <w:noProof/>
            <w:sz w:val="22"/>
            <w:szCs w:val="22"/>
            <w:lang w:val="en-NZ" w:eastAsia="en-NZ" w:bidi="ar-SA"/>
          </w:rPr>
          <w:tab/>
        </w:r>
        <w:r w:rsidR="00AF6E40" w:rsidRPr="00737A37">
          <w:rPr>
            <w:rStyle w:val="Hyperlink"/>
            <w:noProof/>
          </w:rPr>
          <w:t>Risk communication</w:t>
        </w:r>
        <w:r w:rsidR="00AF6E40">
          <w:rPr>
            <w:noProof/>
            <w:webHidden/>
          </w:rPr>
          <w:tab/>
        </w:r>
        <w:r w:rsidR="00AF6E40">
          <w:rPr>
            <w:noProof/>
            <w:webHidden/>
          </w:rPr>
          <w:fldChar w:fldCharType="begin"/>
        </w:r>
        <w:r w:rsidR="00AF6E40">
          <w:rPr>
            <w:noProof/>
            <w:webHidden/>
          </w:rPr>
          <w:instrText xml:space="preserve"> PAGEREF _Toc134451279 \h </w:instrText>
        </w:r>
        <w:r w:rsidR="00AF6E40">
          <w:rPr>
            <w:noProof/>
            <w:webHidden/>
          </w:rPr>
        </w:r>
        <w:r w:rsidR="00AF6E40">
          <w:rPr>
            <w:noProof/>
            <w:webHidden/>
          </w:rPr>
          <w:fldChar w:fldCharType="separate"/>
        </w:r>
        <w:r w:rsidR="00A70646">
          <w:rPr>
            <w:noProof/>
            <w:webHidden/>
          </w:rPr>
          <w:t>7</w:t>
        </w:r>
        <w:r w:rsidR="00AF6E40">
          <w:rPr>
            <w:noProof/>
            <w:webHidden/>
          </w:rPr>
          <w:fldChar w:fldCharType="end"/>
        </w:r>
      </w:hyperlink>
    </w:p>
    <w:p w14:paraId="44FCD8C7" w14:textId="37B6A9E6" w:rsidR="00AF6E40" w:rsidRDefault="00000000">
      <w:pPr>
        <w:pStyle w:val="TOC3"/>
        <w:tabs>
          <w:tab w:val="left" w:pos="1100"/>
          <w:tab w:val="right" w:leader="dot" w:pos="9060"/>
        </w:tabs>
        <w:rPr>
          <w:rFonts w:eastAsiaTheme="minorEastAsia" w:cstheme="minorBidi"/>
          <w:i w:val="0"/>
          <w:iCs w:val="0"/>
          <w:noProof/>
          <w:sz w:val="22"/>
          <w:szCs w:val="22"/>
          <w:lang w:val="en-NZ" w:eastAsia="en-NZ" w:bidi="ar-SA"/>
        </w:rPr>
      </w:pPr>
      <w:hyperlink w:anchor="_Toc134451280" w:history="1">
        <w:r w:rsidR="00AF6E40" w:rsidRPr="00737A37">
          <w:rPr>
            <w:rStyle w:val="Hyperlink"/>
            <w:noProof/>
          </w:rPr>
          <w:t>2.4.1</w:t>
        </w:r>
        <w:r w:rsidR="00AF6E40">
          <w:rPr>
            <w:rFonts w:eastAsiaTheme="minorEastAsia" w:cstheme="minorBidi"/>
            <w:i w:val="0"/>
            <w:iCs w:val="0"/>
            <w:noProof/>
            <w:sz w:val="22"/>
            <w:szCs w:val="22"/>
            <w:lang w:val="en-NZ" w:eastAsia="en-NZ" w:bidi="ar-SA"/>
          </w:rPr>
          <w:tab/>
        </w:r>
        <w:r w:rsidR="00AF6E40" w:rsidRPr="00737A37">
          <w:rPr>
            <w:rStyle w:val="Hyperlink"/>
            <w:noProof/>
          </w:rPr>
          <w:t>Consultation</w:t>
        </w:r>
        <w:r w:rsidR="00AF6E40">
          <w:rPr>
            <w:noProof/>
            <w:webHidden/>
          </w:rPr>
          <w:tab/>
        </w:r>
        <w:r w:rsidR="00AF6E40">
          <w:rPr>
            <w:noProof/>
            <w:webHidden/>
          </w:rPr>
          <w:fldChar w:fldCharType="begin"/>
        </w:r>
        <w:r w:rsidR="00AF6E40">
          <w:rPr>
            <w:noProof/>
            <w:webHidden/>
          </w:rPr>
          <w:instrText xml:space="preserve"> PAGEREF _Toc134451280 \h </w:instrText>
        </w:r>
        <w:r w:rsidR="00AF6E40">
          <w:rPr>
            <w:noProof/>
            <w:webHidden/>
          </w:rPr>
        </w:r>
        <w:r w:rsidR="00AF6E40">
          <w:rPr>
            <w:noProof/>
            <w:webHidden/>
          </w:rPr>
          <w:fldChar w:fldCharType="separate"/>
        </w:r>
        <w:r w:rsidR="00A70646">
          <w:rPr>
            <w:noProof/>
            <w:webHidden/>
          </w:rPr>
          <w:t>7</w:t>
        </w:r>
        <w:r w:rsidR="00AF6E40">
          <w:rPr>
            <w:noProof/>
            <w:webHidden/>
          </w:rPr>
          <w:fldChar w:fldCharType="end"/>
        </w:r>
      </w:hyperlink>
    </w:p>
    <w:p w14:paraId="33152DE0" w14:textId="2EE170A0" w:rsidR="00AF6E40" w:rsidRDefault="00000000">
      <w:pPr>
        <w:pStyle w:val="TOC2"/>
        <w:rPr>
          <w:rFonts w:eastAsiaTheme="minorEastAsia" w:cstheme="minorBidi"/>
          <w:smallCaps w:val="0"/>
          <w:noProof/>
          <w:sz w:val="22"/>
          <w:szCs w:val="22"/>
          <w:lang w:val="en-NZ" w:eastAsia="en-NZ" w:bidi="ar-SA"/>
        </w:rPr>
      </w:pPr>
      <w:hyperlink w:anchor="_Toc134451281" w:history="1">
        <w:r w:rsidR="00AF6E40" w:rsidRPr="00737A37">
          <w:rPr>
            <w:rStyle w:val="Hyperlink"/>
            <w:noProof/>
          </w:rPr>
          <w:t>2.5</w:t>
        </w:r>
        <w:r w:rsidR="00AF6E40">
          <w:rPr>
            <w:rFonts w:eastAsiaTheme="minorEastAsia" w:cstheme="minorBidi"/>
            <w:smallCaps w:val="0"/>
            <w:noProof/>
            <w:sz w:val="22"/>
            <w:szCs w:val="22"/>
            <w:lang w:val="en-NZ" w:eastAsia="en-NZ" w:bidi="ar-SA"/>
          </w:rPr>
          <w:tab/>
        </w:r>
        <w:r w:rsidR="00AF6E40" w:rsidRPr="00737A37">
          <w:rPr>
            <w:rStyle w:val="Hyperlink"/>
            <w:noProof/>
          </w:rPr>
          <w:t>FSANZ Act assessment requirements</w:t>
        </w:r>
        <w:r w:rsidR="00AF6E40">
          <w:rPr>
            <w:noProof/>
            <w:webHidden/>
          </w:rPr>
          <w:tab/>
        </w:r>
        <w:r w:rsidR="00AF6E40">
          <w:rPr>
            <w:noProof/>
            <w:webHidden/>
          </w:rPr>
          <w:fldChar w:fldCharType="begin"/>
        </w:r>
        <w:r w:rsidR="00AF6E40">
          <w:rPr>
            <w:noProof/>
            <w:webHidden/>
          </w:rPr>
          <w:instrText xml:space="preserve"> PAGEREF _Toc134451281 \h </w:instrText>
        </w:r>
        <w:r w:rsidR="00AF6E40">
          <w:rPr>
            <w:noProof/>
            <w:webHidden/>
          </w:rPr>
        </w:r>
        <w:r w:rsidR="00AF6E40">
          <w:rPr>
            <w:noProof/>
            <w:webHidden/>
          </w:rPr>
          <w:fldChar w:fldCharType="separate"/>
        </w:r>
        <w:r w:rsidR="00A70646">
          <w:rPr>
            <w:noProof/>
            <w:webHidden/>
          </w:rPr>
          <w:t>7</w:t>
        </w:r>
        <w:r w:rsidR="00AF6E40">
          <w:rPr>
            <w:noProof/>
            <w:webHidden/>
          </w:rPr>
          <w:fldChar w:fldCharType="end"/>
        </w:r>
      </w:hyperlink>
    </w:p>
    <w:p w14:paraId="4E8DAD36" w14:textId="3E4D6420" w:rsidR="00AF6E40" w:rsidRDefault="00000000">
      <w:pPr>
        <w:pStyle w:val="TOC3"/>
        <w:tabs>
          <w:tab w:val="left" w:pos="1100"/>
          <w:tab w:val="right" w:leader="dot" w:pos="9060"/>
        </w:tabs>
        <w:rPr>
          <w:rFonts w:eastAsiaTheme="minorEastAsia" w:cstheme="minorBidi"/>
          <w:i w:val="0"/>
          <w:iCs w:val="0"/>
          <w:noProof/>
          <w:sz w:val="22"/>
          <w:szCs w:val="22"/>
          <w:lang w:val="en-NZ" w:eastAsia="en-NZ" w:bidi="ar-SA"/>
        </w:rPr>
      </w:pPr>
      <w:hyperlink w:anchor="_Toc134451282" w:history="1">
        <w:r w:rsidR="00AF6E40" w:rsidRPr="00737A37">
          <w:rPr>
            <w:rStyle w:val="Hyperlink"/>
            <w:noProof/>
          </w:rPr>
          <w:t>2.5.1</w:t>
        </w:r>
        <w:r w:rsidR="00AF6E40">
          <w:rPr>
            <w:rFonts w:eastAsiaTheme="minorEastAsia" w:cstheme="minorBidi"/>
            <w:i w:val="0"/>
            <w:iCs w:val="0"/>
            <w:noProof/>
            <w:sz w:val="22"/>
            <w:szCs w:val="22"/>
            <w:lang w:val="en-NZ" w:eastAsia="en-NZ" w:bidi="ar-SA"/>
          </w:rPr>
          <w:tab/>
        </w:r>
        <w:r w:rsidR="00AF6E40" w:rsidRPr="00737A37">
          <w:rPr>
            <w:rStyle w:val="Hyperlink"/>
            <w:noProof/>
          </w:rPr>
          <w:t>Section 59</w:t>
        </w:r>
        <w:r w:rsidR="00AF6E40">
          <w:rPr>
            <w:noProof/>
            <w:webHidden/>
          </w:rPr>
          <w:tab/>
        </w:r>
        <w:r w:rsidR="00AF6E40">
          <w:rPr>
            <w:noProof/>
            <w:webHidden/>
          </w:rPr>
          <w:fldChar w:fldCharType="begin"/>
        </w:r>
        <w:r w:rsidR="00AF6E40">
          <w:rPr>
            <w:noProof/>
            <w:webHidden/>
          </w:rPr>
          <w:instrText xml:space="preserve"> PAGEREF _Toc134451282 \h </w:instrText>
        </w:r>
        <w:r w:rsidR="00AF6E40">
          <w:rPr>
            <w:noProof/>
            <w:webHidden/>
          </w:rPr>
        </w:r>
        <w:r w:rsidR="00AF6E40">
          <w:rPr>
            <w:noProof/>
            <w:webHidden/>
          </w:rPr>
          <w:fldChar w:fldCharType="separate"/>
        </w:r>
        <w:r w:rsidR="00A70646">
          <w:rPr>
            <w:noProof/>
            <w:webHidden/>
          </w:rPr>
          <w:t>7</w:t>
        </w:r>
        <w:r w:rsidR="00AF6E40">
          <w:rPr>
            <w:noProof/>
            <w:webHidden/>
          </w:rPr>
          <w:fldChar w:fldCharType="end"/>
        </w:r>
      </w:hyperlink>
    </w:p>
    <w:p w14:paraId="2C3ACB5B" w14:textId="3943D467" w:rsidR="00AF6E40" w:rsidRDefault="00000000">
      <w:pPr>
        <w:pStyle w:val="TOC3"/>
        <w:tabs>
          <w:tab w:val="left" w:pos="1100"/>
          <w:tab w:val="right" w:leader="dot" w:pos="9060"/>
        </w:tabs>
        <w:rPr>
          <w:rFonts w:eastAsiaTheme="minorEastAsia" w:cstheme="minorBidi"/>
          <w:i w:val="0"/>
          <w:iCs w:val="0"/>
          <w:noProof/>
          <w:sz w:val="22"/>
          <w:szCs w:val="22"/>
          <w:lang w:val="en-NZ" w:eastAsia="en-NZ" w:bidi="ar-SA"/>
        </w:rPr>
      </w:pPr>
      <w:hyperlink w:anchor="_Toc134451283" w:history="1">
        <w:r w:rsidR="00AF6E40" w:rsidRPr="00737A37">
          <w:rPr>
            <w:rStyle w:val="Hyperlink"/>
            <w:noProof/>
          </w:rPr>
          <w:t>2.5.2</w:t>
        </w:r>
        <w:r w:rsidR="00AF6E40">
          <w:rPr>
            <w:rFonts w:eastAsiaTheme="minorEastAsia" w:cstheme="minorBidi"/>
            <w:i w:val="0"/>
            <w:iCs w:val="0"/>
            <w:noProof/>
            <w:sz w:val="22"/>
            <w:szCs w:val="22"/>
            <w:lang w:val="en-NZ" w:eastAsia="en-NZ" w:bidi="ar-SA"/>
          </w:rPr>
          <w:tab/>
        </w:r>
        <w:r w:rsidR="00AF6E40" w:rsidRPr="00737A37">
          <w:rPr>
            <w:rStyle w:val="Hyperlink"/>
            <w:noProof/>
          </w:rPr>
          <w:t>Subsection 18(1)</w:t>
        </w:r>
        <w:r w:rsidR="00AF6E40">
          <w:rPr>
            <w:noProof/>
            <w:webHidden/>
          </w:rPr>
          <w:tab/>
        </w:r>
        <w:r w:rsidR="00AF6E40">
          <w:rPr>
            <w:noProof/>
            <w:webHidden/>
          </w:rPr>
          <w:fldChar w:fldCharType="begin"/>
        </w:r>
        <w:r w:rsidR="00AF6E40">
          <w:rPr>
            <w:noProof/>
            <w:webHidden/>
          </w:rPr>
          <w:instrText xml:space="preserve"> PAGEREF _Toc134451283 \h </w:instrText>
        </w:r>
        <w:r w:rsidR="00AF6E40">
          <w:rPr>
            <w:noProof/>
            <w:webHidden/>
          </w:rPr>
        </w:r>
        <w:r w:rsidR="00AF6E40">
          <w:rPr>
            <w:noProof/>
            <w:webHidden/>
          </w:rPr>
          <w:fldChar w:fldCharType="separate"/>
        </w:r>
        <w:r w:rsidR="00A70646">
          <w:rPr>
            <w:noProof/>
            <w:webHidden/>
          </w:rPr>
          <w:t>8</w:t>
        </w:r>
        <w:r w:rsidR="00AF6E40">
          <w:rPr>
            <w:noProof/>
            <w:webHidden/>
          </w:rPr>
          <w:fldChar w:fldCharType="end"/>
        </w:r>
      </w:hyperlink>
    </w:p>
    <w:p w14:paraId="66983A9F" w14:textId="5B943EAF" w:rsidR="00AF6E40" w:rsidRDefault="00000000">
      <w:pPr>
        <w:pStyle w:val="TOC3"/>
        <w:tabs>
          <w:tab w:val="left" w:pos="1100"/>
          <w:tab w:val="right" w:leader="dot" w:pos="9060"/>
        </w:tabs>
        <w:rPr>
          <w:rFonts w:eastAsiaTheme="minorEastAsia" w:cstheme="minorBidi"/>
          <w:i w:val="0"/>
          <w:iCs w:val="0"/>
          <w:noProof/>
          <w:sz w:val="22"/>
          <w:szCs w:val="22"/>
          <w:lang w:val="en-NZ" w:eastAsia="en-NZ" w:bidi="ar-SA"/>
        </w:rPr>
      </w:pPr>
      <w:hyperlink w:anchor="_Toc134451284" w:history="1">
        <w:r w:rsidR="00AF6E40" w:rsidRPr="00737A37">
          <w:rPr>
            <w:rStyle w:val="Hyperlink"/>
            <w:noProof/>
          </w:rPr>
          <w:t>2.5.3</w:t>
        </w:r>
        <w:r w:rsidR="00AF6E40">
          <w:rPr>
            <w:rFonts w:eastAsiaTheme="minorEastAsia" w:cstheme="minorBidi"/>
            <w:i w:val="0"/>
            <w:iCs w:val="0"/>
            <w:noProof/>
            <w:sz w:val="22"/>
            <w:szCs w:val="22"/>
            <w:lang w:val="en-NZ" w:eastAsia="en-NZ" w:bidi="ar-SA"/>
          </w:rPr>
          <w:tab/>
        </w:r>
        <w:r w:rsidR="00AF6E40" w:rsidRPr="00737A37">
          <w:rPr>
            <w:rStyle w:val="Hyperlink"/>
            <w:noProof/>
          </w:rPr>
          <w:t>Subsection 18(2) considerations</w:t>
        </w:r>
        <w:r w:rsidR="00AF6E40">
          <w:rPr>
            <w:noProof/>
            <w:webHidden/>
          </w:rPr>
          <w:tab/>
        </w:r>
        <w:r w:rsidR="00AF6E40">
          <w:rPr>
            <w:noProof/>
            <w:webHidden/>
          </w:rPr>
          <w:fldChar w:fldCharType="begin"/>
        </w:r>
        <w:r w:rsidR="00AF6E40">
          <w:rPr>
            <w:noProof/>
            <w:webHidden/>
          </w:rPr>
          <w:instrText xml:space="preserve"> PAGEREF _Toc134451284 \h </w:instrText>
        </w:r>
        <w:r w:rsidR="00AF6E40">
          <w:rPr>
            <w:noProof/>
            <w:webHidden/>
          </w:rPr>
        </w:r>
        <w:r w:rsidR="00AF6E40">
          <w:rPr>
            <w:noProof/>
            <w:webHidden/>
          </w:rPr>
          <w:fldChar w:fldCharType="separate"/>
        </w:r>
        <w:r w:rsidR="00A70646">
          <w:rPr>
            <w:noProof/>
            <w:webHidden/>
          </w:rPr>
          <w:t>8</w:t>
        </w:r>
        <w:r w:rsidR="00AF6E40">
          <w:rPr>
            <w:noProof/>
            <w:webHidden/>
          </w:rPr>
          <w:fldChar w:fldCharType="end"/>
        </w:r>
      </w:hyperlink>
    </w:p>
    <w:p w14:paraId="790DDA6C" w14:textId="6217347C" w:rsidR="00AF6E40" w:rsidRDefault="00000000">
      <w:pPr>
        <w:pStyle w:val="TOC2"/>
        <w:rPr>
          <w:rFonts w:eastAsiaTheme="minorEastAsia" w:cstheme="minorBidi"/>
          <w:smallCaps w:val="0"/>
          <w:noProof/>
          <w:sz w:val="22"/>
          <w:szCs w:val="22"/>
          <w:lang w:val="en-NZ" w:eastAsia="en-NZ" w:bidi="ar-SA"/>
        </w:rPr>
      </w:pPr>
      <w:hyperlink w:anchor="_Toc134451285" w:history="1">
        <w:r w:rsidR="00AF6E40" w:rsidRPr="00737A37">
          <w:rPr>
            <w:rStyle w:val="Hyperlink"/>
            <w:noProof/>
          </w:rPr>
          <w:t xml:space="preserve">Attachment A – Approved draft variation to the </w:t>
        </w:r>
        <w:r w:rsidR="00AF6E40" w:rsidRPr="00737A37">
          <w:rPr>
            <w:rStyle w:val="Hyperlink"/>
            <w:iCs/>
            <w:noProof/>
          </w:rPr>
          <w:t>Australia New Zealand Food Standards Code</w:t>
        </w:r>
        <w:r w:rsidR="00AF6E40">
          <w:rPr>
            <w:noProof/>
            <w:webHidden/>
          </w:rPr>
          <w:tab/>
        </w:r>
        <w:r w:rsidR="00AF6E40">
          <w:rPr>
            <w:noProof/>
            <w:webHidden/>
          </w:rPr>
          <w:fldChar w:fldCharType="begin"/>
        </w:r>
        <w:r w:rsidR="00AF6E40">
          <w:rPr>
            <w:noProof/>
            <w:webHidden/>
          </w:rPr>
          <w:instrText xml:space="preserve"> PAGEREF _Toc134451285 \h </w:instrText>
        </w:r>
        <w:r w:rsidR="00AF6E40">
          <w:rPr>
            <w:noProof/>
            <w:webHidden/>
          </w:rPr>
        </w:r>
        <w:r w:rsidR="00AF6E40">
          <w:rPr>
            <w:noProof/>
            <w:webHidden/>
          </w:rPr>
          <w:fldChar w:fldCharType="separate"/>
        </w:r>
        <w:r w:rsidR="00A70646">
          <w:rPr>
            <w:noProof/>
            <w:webHidden/>
          </w:rPr>
          <w:t>10</w:t>
        </w:r>
        <w:r w:rsidR="00AF6E40">
          <w:rPr>
            <w:noProof/>
            <w:webHidden/>
          </w:rPr>
          <w:fldChar w:fldCharType="end"/>
        </w:r>
      </w:hyperlink>
    </w:p>
    <w:p w14:paraId="23815A52" w14:textId="16242B1E" w:rsidR="00AF6E40" w:rsidRDefault="00000000">
      <w:pPr>
        <w:pStyle w:val="TOC2"/>
        <w:rPr>
          <w:rFonts w:eastAsiaTheme="minorEastAsia" w:cstheme="minorBidi"/>
          <w:smallCaps w:val="0"/>
          <w:noProof/>
          <w:sz w:val="22"/>
          <w:szCs w:val="22"/>
          <w:lang w:val="en-NZ" w:eastAsia="en-NZ" w:bidi="ar-SA"/>
        </w:rPr>
      </w:pPr>
      <w:hyperlink w:anchor="_Toc134451286" w:history="1">
        <w:r w:rsidR="00AF6E40" w:rsidRPr="00737A37">
          <w:rPr>
            <w:rStyle w:val="Hyperlink"/>
            <w:noProof/>
          </w:rPr>
          <w:t>Attachment B – Explanatory Statement</w:t>
        </w:r>
        <w:r w:rsidR="00AF6E40">
          <w:rPr>
            <w:noProof/>
            <w:webHidden/>
          </w:rPr>
          <w:tab/>
        </w:r>
        <w:r w:rsidR="00AF6E40">
          <w:rPr>
            <w:noProof/>
            <w:webHidden/>
          </w:rPr>
          <w:fldChar w:fldCharType="begin"/>
        </w:r>
        <w:r w:rsidR="00AF6E40">
          <w:rPr>
            <w:noProof/>
            <w:webHidden/>
          </w:rPr>
          <w:instrText xml:space="preserve"> PAGEREF _Toc134451286 \h </w:instrText>
        </w:r>
        <w:r w:rsidR="00AF6E40">
          <w:rPr>
            <w:noProof/>
            <w:webHidden/>
          </w:rPr>
        </w:r>
        <w:r w:rsidR="00AF6E40">
          <w:rPr>
            <w:noProof/>
            <w:webHidden/>
          </w:rPr>
          <w:fldChar w:fldCharType="separate"/>
        </w:r>
        <w:r w:rsidR="00A70646">
          <w:rPr>
            <w:noProof/>
            <w:webHidden/>
          </w:rPr>
          <w:t>20</w:t>
        </w:r>
        <w:r w:rsidR="00AF6E40">
          <w:rPr>
            <w:noProof/>
            <w:webHidden/>
          </w:rPr>
          <w:fldChar w:fldCharType="end"/>
        </w:r>
      </w:hyperlink>
    </w:p>
    <w:p w14:paraId="3472C3A5" w14:textId="289AA52B" w:rsidR="00AF6E40" w:rsidRDefault="00000000">
      <w:pPr>
        <w:pStyle w:val="TOC2"/>
        <w:rPr>
          <w:rFonts w:eastAsiaTheme="minorEastAsia" w:cstheme="minorBidi"/>
          <w:smallCaps w:val="0"/>
          <w:noProof/>
          <w:sz w:val="22"/>
          <w:szCs w:val="22"/>
          <w:lang w:val="en-NZ" w:eastAsia="en-NZ" w:bidi="ar-SA"/>
        </w:rPr>
      </w:pPr>
      <w:hyperlink w:anchor="_Toc134451287" w:history="1">
        <w:r w:rsidR="00AF6E40" w:rsidRPr="00737A37">
          <w:rPr>
            <w:rStyle w:val="Hyperlink"/>
            <w:noProof/>
          </w:rPr>
          <w:t xml:space="preserve">Attachment C – Draft variation to the </w:t>
        </w:r>
        <w:r w:rsidR="00AF6E40" w:rsidRPr="00737A37">
          <w:rPr>
            <w:rStyle w:val="Hyperlink"/>
            <w:i/>
            <w:noProof/>
          </w:rPr>
          <w:t xml:space="preserve">Australia New Zealand Food Standards Code </w:t>
        </w:r>
        <w:r w:rsidR="00AF6E40" w:rsidRPr="00737A37">
          <w:rPr>
            <w:rStyle w:val="Hyperlink"/>
            <w:noProof/>
          </w:rPr>
          <w:t>(call for submissions)</w:t>
        </w:r>
        <w:r w:rsidR="00AF6E40">
          <w:rPr>
            <w:noProof/>
            <w:webHidden/>
          </w:rPr>
          <w:tab/>
        </w:r>
        <w:r w:rsidR="00AF6E40">
          <w:rPr>
            <w:noProof/>
            <w:webHidden/>
          </w:rPr>
          <w:fldChar w:fldCharType="begin"/>
        </w:r>
        <w:r w:rsidR="00AF6E40">
          <w:rPr>
            <w:noProof/>
            <w:webHidden/>
          </w:rPr>
          <w:instrText xml:space="preserve"> PAGEREF _Toc134451287 \h </w:instrText>
        </w:r>
        <w:r w:rsidR="00AF6E40">
          <w:rPr>
            <w:noProof/>
            <w:webHidden/>
          </w:rPr>
        </w:r>
        <w:r w:rsidR="00AF6E40">
          <w:rPr>
            <w:noProof/>
            <w:webHidden/>
          </w:rPr>
          <w:fldChar w:fldCharType="separate"/>
        </w:r>
        <w:r w:rsidR="00A70646">
          <w:rPr>
            <w:noProof/>
            <w:webHidden/>
          </w:rPr>
          <w:t>26</w:t>
        </w:r>
        <w:r w:rsidR="00AF6E40">
          <w:rPr>
            <w:noProof/>
            <w:webHidden/>
          </w:rPr>
          <w:fldChar w:fldCharType="end"/>
        </w:r>
      </w:hyperlink>
    </w:p>
    <w:p w14:paraId="1454A097" w14:textId="31C87233" w:rsidR="0012388D" w:rsidRDefault="00B55714" w:rsidP="00C91C02">
      <w:r w:rsidRPr="00346622">
        <w:rPr>
          <w:rFonts w:cs="Arial"/>
          <w:sz w:val="20"/>
          <w:szCs w:val="20"/>
        </w:rPr>
        <w:fldChar w:fldCharType="end"/>
      </w:r>
    </w:p>
    <w:p w14:paraId="0DA18FDF" w14:textId="77777777" w:rsidR="007F7BF7" w:rsidRDefault="007F7BF7" w:rsidP="00CA5734"/>
    <w:p w14:paraId="0A191307" w14:textId="0B2FCB86"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7EFBA76D" w14:textId="77777777" w:rsidR="00A671E6" w:rsidRPr="0089264A" w:rsidRDefault="00A671E6" w:rsidP="00A671E6">
      <w:pPr>
        <w:rPr>
          <w:szCs w:val="22"/>
        </w:rPr>
      </w:pPr>
    </w:p>
    <w:p w14:paraId="17530BC8" w14:textId="17F747C5" w:rsidR="007A53BF" w:rsidRPr="00087393" w:rsidRDefault="007A53BF" w:rsidP="007A53BF">
      <w:pPr>
        <w:rPr>
          <w:szCs w:val="22"/>
        </w:rPr>
      </w:pPr>
      <w:r w:rsidRPr="0089264A">
        <w:rPr>
          <w:szCs w:val="22"/>
        </w:rPr>
        <w:t xml:space="preserve">The </w:t>
      </w:r>
      <w:r w:rsidRPr="00087393">
        <w:rPr>
          <w:szCs w:val="22"/>
        </w:rPr>
        <w:t>following document</w:t>
      </w:r>
      <w:r w:rsidR="00087393">
        <w:rPr>
          <w:szCs w:val="22"/>
        </w:rPr>
        <w:t>,</w:t>
      </w:r>
      <w:r w:rsidRPr="00087393">
        <w:rPr>
          <w:szCs w:val="22"/>
        </w:rPr>
        <w:t xml:space="preserve"> </w:t>
      </w:r>
      <w:r>
        <w:rPr>
          <w:szCs w:val="22"/>
        </w:rPr>
        <w:t xml:space="preserve">which informed the assessment </w:t>
      </w:r>
      <w:r w:rsidRPr="00087393">
        <w:rPr>
          <w:szCs w:val="22"/>
        </w:rPr>
        <w:t>of this Proposal</w:t>
      </w:r>
      <w:r w:rsidR="003F6CAB">
        <w:rPr>
          <w:szCs w:val="22"/>
        </w:rPr>
        <w:t>,</w:t>
      </w:r>
      <w:r w:rsidRPr="00087393">
        <w:rPr>
          <w:szCs w:val="22"/>
        </w:rPr>
        <w:t xml:space="preserve"> </w:t>
      </w:r>
      <w:r w:rsidR="00087393" w:rsidRPr="00087393">
        <w:rPr>
          <w:szCs w:val="22"/>
        </w:rPr>
        <w:t>is</w:t>
      </w:r>
      <w:r w:rsidRPr="00087393">
        <w:rPr>
          <w:szCs w:val="22"/>
        </w:rPr>
        <w:t xml:space="preserve"> available on the FSANZ website</w:t>
      </w:r>
      <w:r w:rsidR="00FF3E26" w:rsidRPr="00087393">
        <w:rPr>
          <w:szCs w:val="22"/>
        </w:rPr>
        <w:t>:</w:t>
      </w:r>
    </w:p>
    <w:p w14:paraId="67F7A73C" w14:textId="77777777" w:rsidR="007A53BF" w:rsidRPr="00087393" w:rsidRDefault="007A53BF" w:rsidP="007A53BF">
      <w:pPr>
        <w:rPr>
          <w:szCs w:val="22"/>
        </w:rPr>
      </w:pPr>
    </w:p>
    <w:p w14:paraId="42B28241" w14:textId="65D8FC37" w:rsidR="003C4969" w:rsidRPr="00CA5734" w:rsidRDefault="00087393" w:rsidP="007A7F9B">
      <w:pPr>
        <w:spacing w:line="280" w:lineRule="exact"/>
        <w:ind w:hanging="851"/>
        <w:outlineLvl w:val="3"/>
        <w:rPr>
          <w:vanish/>
          <w:color w:val="FF0000"/>
        </w:rPr>
      </w:pPr>
      <w:r w:rsidRPr="00087393">
        <w:t>SD</w:t>
      </w:r>
      <w:r>
        <w:tab/>
      </w:r>
      <w:r w:rsidRPr="00087393">
        <w:t xml:space="preserve">List of </w:t>
      </w:r>
      <w:r w:rsidR="004E39D7">
        <w:t>approved</w:t>
      </w:r>
      <w:r w:rsidRPr="00087393">
        <w:t xml:space="preserve"> amendments – Proposal P1061</w:t>
      </w:r>
      <w:r w:rsidR="00D15A08" w:rsidRPr="00CA5734">
        <w:br w:type="page"/>
      </w:r>
    </w:p>
    <w:p w14:paraId="553BD8B8" w14:textId="77777777" w:rsidR="007A53BF" w:rsidRPr="007A53BF" w:rsidRDefault="007A53BF" w:rsidP="00CE59AA">
      <w:pPr>
        <w:pStyle w:val="Heading1"/>
      </w:pPr>
      <w:bookmarkStart w:id="0" w:name="_Toc286391001"/>
      <w:bookmarkStart w:id="1" w:name="_Toc300933414"/>
      <w:bookmarkStart w:id="2" w:name="_Toc370223463"/>
      <w:bookmarkStart w:id="3" w:name="_Toc134451268"/>
      <w:bookmarkStart w:id="4" w:name="_Toc11735627"/>
      <w:bookmarkStart w:id="5" w:name="_Toc29883110"/>
      <w:bookmarkStart w:id="6" w:name="_Toc41906797"/>
      <w:bookmarkStart w:id="7" w:name="_Toc41907544"/>
      <w:bookmarkStart w:id="8" w:name="_Toc120358575"/>
      <w:r w:rsidRPr="007A53BF">
        <w:lastRenderedPageBreak/>
        <w:t>Executive summary</w:t>
      </w:r>
      <w:bookmarkEnd w:id="0"/>
      <w:bookmarkEnd w:id="1"/>
      <w:bookmarkEnd w:id="2"/>
      <w:bookmarkEnd w:id="3"/>
    </w:p>
    <w:p w14:paraId="4C092826" w14:textId="52286A50" w:rsidR="004C24B7" w:rsidRDefault="004C24B7" w:rsidP="00D100A9">
      <w:pPr>
        <w:rPr>
          <w:szCs w:val="22"/>
        </w:rPr>
      </w:pPr>
      <w:r w:rsidRPr="00D100A9">
        <w:rPr>
          <w:szCs w:val="22"/>
        </w:rPr>
        <w:t>Food Standards Australia New Zealand (FSANZ) had prepared Proposal P1061 to amend the Australia New Zealand Food Standards Code (the Code) to:</w:t>
      </w:r>
    </w:p>
    <w:p w14:paraId="073001EB" w14:textId="77777777" w:rsidR="00D100A9" w:rsidRPr="004C24B7" w:rsidRDefault="00D100A9" w:rsidP="00D100A9">
      <w:pPr>
        <w:rPr>
          <w:b/>
          <w:bCs/>
        </w:rPr>
      </w:pPr>
    </w:p>
    <w:p w14:paraId="16560F60" w14:textId="25E26F84" w:rsidR="00D100A9" w:rsidRPr="00D100A9" w:rsidRDefault="004C24B7" w:rsidP="00D100A9">
      <w:pPr>
        <w:pStyle w:val="ListParagraph"/>
        <w:numPr>
          <w:ilvl w:val="0"/>
          <w:numId w:val="5"/>
        </w:numPr>
      </w:pPr>
      <w:r w:rsidRPr="00D100A9">
        <w:t>correct typographical errors, omissions, inconsistencies and formatting issues;</w:t>
      </w:r>
    </w:p>
    <w:p w14:paraId="7E9899FB" w14:textId="04413FA1" w:rsidR="004C24B7" w:rsidRPr="00D100A9" w:rsidRDefault="004C24B7" w:rsidP="00D100A9">
      <w:pPr>
        <w:pStyle w:val="ListParagraph"/>
        <w:numPr>
          <w:ilvl w:val="0"/>
          <w:numId w:val="5"/>
        </w:numPr>
      </w:pPr>
      <w:r w:rsidRPr="00D100A9">
        <w:t>update references; and</w:t>
      </w:r>
    </w:p>
    <w:p w14:paraId="3F5836A8" w14:textId="33956ED4" w:rsidR="004C24B7" w:rsidRPr="00D100A9" w:rsidRDefault="004C24B7" w:rsidP="002922C3">
      <w:pPr>
        <w:pStyle w:val="ListParagraph"/>
        <w:numPr>
          <w:ilvl w:val="0"/>
          <w:numId w:val="5"/>
        </w:numPr>
      </w:pPr>
      <w:r w:rsidRPr="002169FF">
        <w:rPr>
          <w:rFonts w:cs="Arial"/>
          <w:szCs w:val="22"/>
        </w:rPr>
        <w:t xml:space="preserve">change editorial Notes </w:t>
      </w:r>
      <w:r w:rsidR="002169FF" w:rsidRPr="002169FF">
        <w:rPr>
          <w:rFonts w:cs="Arial"/>
          <w:szCs w:val="22"/>
        </w:rPr>
        <w:t>to reflect the New Zealand Government’s decision to require in New Zealand folic acid fortification of wheat flour sold as suitable for making bread to which section 2.1.1—5</w:t>
      </w:r>
      <w:r w:rsidR="002169FF" w:rsidRPr="002169FF">
        <w:rPr>
          <w:rFonts w:cs="Arial"/>
          <w:color w:val="0D4A88"/>
          <w:szCs w:val="22"/>
        </w:rPr>
        <w:t> </w:t>
      </w:r>
      <w:r w:rsidR="002169FF" w:rsidRPr="002169FF">
        <w:rPr>
          <w:rFonts w:cs="Arial"/>
          <w:szCs w:val="22"/>
        </w:rPr>
        <w:t xml:space="preserve"> of the Code applies</w:t>
      </w:r>
      <w:r w:rsidRPr="004C24B7">
        <w:t>.</w:t>
      </w:r>
      <w:r w:rsidR="003E3492">
        <w:t xml:space="preserve"> </w:t>
      </w:r>
      <w:r w:rsidR="003E3492" w:rsidRPr="003E3492">
        <w:rPr>
          <w:szCs w:val="22"/>
        </w:rPr>
        <w:t xml:space="preserve">That section </w:t>
      </w:r>
      <w:r w:rsidR="003E3492" w:rsidRPr="00DB3250">
        <w:rPr>
          <w:rFonts w:cs="Arial"/>
          <w:szCs w:val="22"/>
        </w:rPr>
        <w:t>does not apply to bread that is represented as organic</w:t>
      </w:r>
      <w:r w:rsidR="003E3492">
        <w:t>.</w:t>
      </w:r>
      <w:r w:rsidR="00E77262">
        <w:rPr>
          <w:rStyle w:val="FootnoteReference"/>
        </w:rPr>
        <w:footnoteReference w:id="3"/>
      </w:r>
    </w:p>
    <w:p w14:paraId="6ED56EC9" w14:textId="77777777" w:rsidR="00AD463E" w:rsidRDefault="00AD463E" w:rsidP="00D100A9">
      <w:pPr>
        <w:rPr>
          <w:szCs w:val="22"/>
        </w:rPr>
      </w:pPr>
    </w:p>
    <w:p w14:paraId="2336D872" w14:textId="404F2CE9" w:rsidR="00BC6EE8" w:rsidRDefault="004C24B7" w:rsidP="00D100A9">
      <w:pPr>
        <w:rPr>
          <w:szCs w:val="22"/>
        </w:rPr>
      </w:pPr>
      <w:r w:rsidRPr="00D100A9">
        <w:rPr>
          <w:szCs w:val="22"/>
        </w:rPr>
        <w:t>The proposed amendments were relatively minor in nature. No potential public health and safety concerns had been identified.</w:t>
      </w:r>
      <w:r w:rsidR="00BC6EE8" w:rsidRPr="00D100A9">
        <w:rPr>
          <w:szCs w:val="22"/>
        </w:rPr>
        <w:t xml:space="preserve"> </w:t>
      </w:r>
    </w:p>
    <w:p w14:paraId="6371C30A" w14:textId="77777777" w:rsidR="00D100A9" w:rsidRPr="00D100A9" w:rsidRDefault="00D100A9" w:rsidP="00D100A9">
      <w:pPr>
        <w:rPr>
          <w:szCs w:val="22"/>
        </w:rPr>
      </w:pPr>
    </w:p>
    <w:p w14:paraId="2FD54A5B" w14:textId="7036ED4E" w:rsidR="004C24B7" w:rsidRDefault="00BC6EE8" w:rsidP="00D100A9">
      <w:pPr>
        <w:rPr>
          <w:szCs w:val="22"/>
        </w:rPr>
      </w:pPr>
      <w:r w:rsidRPr="00D100A9">
        <w:rPr>
          <w:szCs w:val="22"/>
        </w:rPr>
        <w:t xml:space="preserve">Following assessment and the preparation of a draft variation, FSANZ called for submissions regarding the draft variation from </w:t>
      </w:r>
      <w:r w:rsidR="008F1318" w:rsidRPr="00D100A9">
        <w:rPr>
          <w:szCs w:val="22"/>
        </w:rPr>
        <w:t>30 January 2023</w:t>
      </w:r>
      <w:r w:rsidRPr="00D100A9">
        <w:rPr>
          <w:szCs w:val="22"/>
        </w:rPr>
        <w:t xml:space="preserve"> to </w:t>
      </w:r>
      <w:r w:rsidR="00B905C0" w:rsidRPr="00D100A9">
        <w:rPr>
          <w:szCs w:val="22"/>
        </w:rPr>
        <w:t>3 March 2023</w:t>
      </w:r>
      <w:r w:rsidRPr="00EE73AD">
        <w:rPr>
          <w:szCs w:val="22"/>
        </w:rPr>
        <w:t xml:space="preserve">. </w:t>
      </w:r>
      <w:r w:rsidR="001343DD" w:rsidRPr="00EE73AD">
        <w:rPr>
          <w:szCs w:val="22"/>
        </w:rPr>
        <w:t>Four</w:t>
      </w:r>
      <w:r w:rsidRPr="00EE73AD">
        <w:rPr>
          <w:szCs w:val="22"/>
        </w:rPr>
        <w:t xml:space="preserve"> submissions</w:t>
      </w:r>
      <w:r w:rsidRPr="00D100A9">
        <w:rPr>
          <w:szCs w:val="22"/>
        </w:rPr>
        <w:t xml:space="preserve"> were received, all of which FSANZ had regard to (see Section 2.1 of this Report for details of submissions made).</w:t>
      </w:r>
    </w:p>
    <w:p w14:paraId="300E4239" w14:textId="77777777" w:rsidR="00D100A9" w:rsidRPr="00D100A9" w:rsidRDefault="00D100A9" w:rsidP="00D100A9">
      <w:pPr>
        <w:rPr>
          <w:szCs w:val="22"/>
        </w:rPr>
      </w:pPr>
    </w:p>
    <w:p w14:paraId="06BE29BC" w14:textId="48EC74EC" w:rsidR="00B368F0" w:rsidRDefault="00B368F0" w:rsidP="00B368F0">
      <w:pPr>
        <w:rPr>
          <w:lang w:bidi="ar-SA"/>
        </w:rPr>
      </w:pPr>
      <w:r>
        <w:rPr>
          <w:lang w:bidi="ar-SA"/>
        </w:rPr>
        <w:t>Based on the information above and on other relevant considerations set out in this report,</w:t>
      </w:r>
    </w:p>
    <w:p w14:paraId="163E78F0" w14:textId="596DDAC5" w:rsidR="00B905C0" w:rsidRDefault="00B368F0" w:rsidP="00B368F0">
      <w:pPr>
        <w:rPr>
          <w:lang w:bidi="ar-SA"/>
        </w:rPr>
      </w:pPr>
      <w:r>
        <w:rPr>
          <w:lang w:bidi="ar-SA"/>
        </w:rPr>
        <w:t xml:space="preserve">FSANZ has decided to approve </w:t>
      </w:r>
      <w:r w:rsidR="007D7A0C">
        <w:rPr>
          <w:lang w:bidi="ar-SA"/>
        </w:rPr>
        <w:t xml:space="preserve">an amended version of </w:t>
      </w:r>
      <w:r>
        <w:rPr>
          <w:lang w:bidi="ar-SA"/>
        </w:rPr>
        <w:t>the draft variation proposed following assessment.</w:t>
      </w:r>
    </w:p>
    <w:p w14:paraId="666EAEB3" w14:textId="31846B7E" w:rsidR="00987B76" w:rsidRDefault="00987B76" w:rsidP="00B368F0">
      <w:pPr>
        <w:rPr>
          <w:lang w:bidi="ar-SA"/>
        </w:rPr>
      </w:pPr>
    </w:p>
    <w:p w14:paraId="3E5030F4" w14:textId="7270AFD6" w:rsidR="00987B76" w:rsidRPr="00A77B8A" w:rsidRDefault="00987B76" w:rsidP="00987B76">
      <w:pPr>
        <w:rPr>
          <w:lang w:bidi="ar-SA"/>
        </w:rPr>
      </w:pPr>
      <w:r w:rsidRPr="00A77B8A">
        <w:rPr>
          <w:lang w:bidi="ar-SA"/>
        </w:rPr>
        <w:t xml:space="preserve">Each amendment </w:t>
      </w:r>
      <w:r w:rsidR="007F693E">
        <w:rPr>
          <w:lang w:bidi="ar-SA"/>
        </w:rPr>
        <w:t xml:space="preserve">in the approved draft variation </w:t>
      </w:r>
      <w:r w:rsidRPr="00A77B8A">
        <w:rPr>
          <w:lang w:bidi="ar-SA"/>
        </w:rPr>
        <w:t xml:space="preserve">is explained in </w:t>
      </w:r>
      <w:r>
        <w:rPr>
          <w:lang w:bidi="ar-SA"/>
        </w:rPr>
        <w:t xml:space="preserve">the </w:t>
      </w:r>
      <w:r w:rsidRPr="00A77B8A">
        <w:rPr>
          <w:lang w:bidi="ar-SA"/>
        </w:rPr>
        <w:t>SD</w:t>
      </w:r>
      <w:r>
        <w:rPr>
          <w:lang w:bidi="ar-SA"/>
        </w:rPr>
        <w:t>.</w:t>
      </w:r>
    </w:p>
    <w:p w14:paraId="2572D011" w14:textId="77777777" w:rsidR="00987B76" w:rsidRPr="00D100A9" w:rsidRDefault="00987B76" w:rsidP="00987B76">
      <w:pPr>
        <w:rPr>
          <w:szCs w:val="22"/>
        </w:rPr>
      </w:pPr>
    </w:p>
    <w:p w14:paraId="401C931F" w14:textId="77777777" w:rsidR="00987B76" w:rsidRPr="00B905C0" w:rsidRDefault="00987B76" w:rsidP="00B368F0">
      <w:pPr>
        <w:rPr>
          <w:lang w:bidi="ar-SA"/>
        </w:rPr>
      </w:pPr>
    </w:p>
    <w:p w14:paraId="3DA8C459" w14:textId="37EA3A8F" w:rsidR="00C836FF" w:rsidRDefault="00C836FF" w:rsidP="004C24B7">
      <w:pPr>
        <w:pStyle w:val="Heading1"/>
        <w:ind w:left="0" w:firstLine="0"/>
      </w:pPr>
      <w:r>
        <w:br w:type="page"/>
      </w:r>
    </w:p>
    <w:p w14:paraId="0E8156B0" w14:textId="77777777" w:rsidR="007A53BF" w:rsidRPr="007A53BF" w:rsidRDefault="007A53BF" w:rsidP="00CE59AA">
      <w:pPr>
        <w:pStyle w:val="Heading1"/>
      </w:pPr>
      <w:bookmarkStart w:id="9" w:name="_Toc300933417"/>
      <w:bookmarkStart w:id="10" w:name="_Toc370223464"/>
      <w:bookmarkStart w:id="11" w:name="_Toc134451269"/>
      <w:r w:rsidRPr="007A53BF">
        <w:lastRenderedPageBreak/>
        <w:t>1</w:t>
      </w:r>
      <w:r w:rsidRPr="007A53BF">
        <w:tab/>
        <w:t>Introduction</w:t>
      </w:r>
      <w:bookmarkEnd w:id="9"/>
      <w:bookmarkEnd w:id="10"/>
      <w:bookmarkEnd w:id="11"/>
    </w:p>
    <w:p w14:paraId="03922BF7" w14:textId="5DE0BD34" w:rsidR="007A53BF" w:rsidRPr="007A53BF" w:rsidRDefault="007A53BF" w:rsidP="00CE59AA">
      <w:pPr>
        <w:pStyle w:val="Heading2"/>
      </w:pPr>
      <w:bookmarkStart w:id="12" w:name="_Toc300761890"/>
      <w:bookmarkStart w:id="13" w:name="_Toc300933419"/>
      <w:bookmarkStart w:id="14" w:name="_Toc370223465"/>
      <w:bookmarkStart w:id="15" w:name="_Toc134451270"/>
      <w:r w:rsidRPr="007A53BF">
        <w:t>1.1</w:t>
      </w:r>
      <w:r w:rsidRPr="007A53BF">
        <w:tab/>
      </w:r>
      <w:bookmarkStart w:id="16" w:name="_Toc300761891"/>
      <w:bookmarkStart w:id="17" w:name="_Toc300933420"/>
      <w:bookmarkStart w:id="18" w:name="_Toc370223466"/>
      <w:bookmarkEnd w:id="12"/>
      <w:bookmarkEnd w:id="13"/>
      <w:bookmarkEnd w:id="14"/>
      <w:r w:rsidRPr="007A53BF">
        <w:t xml:space="preserve">The </w:t>
      </w:r>
      <w:bookmarkEnd w:id="16"/>
      <w:r w:rsidRPr="00DA4316">
        <w:t>Proposal</w:t>
      </w:r>
      <w:bookmarkEnd w:id="15"/>
      <w:bookmarkEnd w:id="17"/>
      <w:bookmarkEnd w:id="18"/>
    </w:p>
    <w:p w14:paraId="641034AE" w14:textId="7FAEF30F" w:rsidR="00DA4316" w:rsidRPr="00DA4316" w:rsidRDefault="00DA4316" w:rsidP="00791247">
      <w:pPr>
        <w:rPr>
          <w:b/>
          <w:bCs/>
        </w:rPr>
      </w:pPr>
      <w:bookmarkStart w:id="19" w:name="_Toc300761892"/>
      <w:bookmarkStart w:id="20" w:name="_Toc300933421"/>
      <w:bookmarkStart w:id="21" w:name="_Toc370223467"/>
      <w:r w:rsidRPr="00DA4316">
        <w:rPr>
          <w:lang w:bidi="ar-SA"/>
        </w:rPr>
        <w:t xml:space="preserve">Proposal P1061 was prepared to make a range of relatively minor amendments to the Australia New Zealand Food Standards Code (the Code) including the correction of typographical errors, omissions, inconsistencies and formatting issues; updating references; and changing editorial Notes to reflect </w:t>
      </w:r>
      <w:r w:rsidRPr="00CB4716">
        <w:rPr>
          <w:lang w:bidi="ar-SA"/>
        </w:rPr>
        <w:t xml:space="preserve">the New Zealand Government’s decision </w:t>
      </w:r>
      <w:bookmarkStart w:id="22" w:name="_Hlk129090686"/>
      <w:r w:rsidR="002169FF" w:rsidRPr="005D7BEB">
        <w:rPr>
          <w:lang w:bidi="ar-SA"/>
        </w:rPr>
        <w:t xml:space="preserve">to require in New Zealand </w:t>
      </w:r>
      <w:r w:rsidR="002169FF" w:rsidRPr="00C33212">
        <w:rPr>
          <w:lang w:bidi="ar-SA"/>
        </w:rPr>
        <w:t>from 13 August 2023</w:t>
      </w:r>
      <w:r w:rsidR="002169FF">
        <w:rPr>
          <w:lang w:bidi="ar-SA"/>
        </w:rPr>
        <w:t xml:space="preserve"> </w:t>
      </w:r>
      <w:r w:rsidR="002169FF" w:rsidRPr="005D7BEB">
        <w:rPr>
          <w:lang w:bidi="ar-SA"/>
        </w:rPr>
        <w:t>folic acid fortification of wheat flour sold as suitable for making bread to which section 2.1.1—5</w:t>
      </w:r>
      <w:r w:rsidR="002169FF" w:rsidRPr="00CB4716">
        <w:rPr>
          <w:lang w:bidi="ar-SA"/>
        </w:rPr>
        <w:t> </w:t>
      </w:r>
      <w:r w:rsidR="002169FF" w:rsidRPr="005D7BEB">
        <w:rPr>
          <w:lang w:bidi="ar-SA"/>
        </w:rPr>
        <w:t>of the Code</w:t>
      </w:r>
      <w:r w:rsidR="002169FF" w:rsidRPr="002169FF">
        <w:rPr>
          <w:rFonts w:cs="Arial"/>
          <w:szCs w:val="22"/>
        </w:rPr>
        <w:t xml:space="preserve"> </w:t>
      </w:r>
      <w:bookmarkEnd w:id="22"/>
      <w:r w:rsidR="002169FF" w:rsidRPr="005D7BEB">
        <w:rPr>
          <w:rFonts w:cs="Arial"/>
          <w:szCs w:val="22"/>
          <w:lang w:bidi="ar-SA"/>
        </w:rPr>
        <w:t>applies</w:t>
      </w:r>
      <w:r w:rsidRPr="005D7BEB">
        <w:rPr>
          <w:lang w:bidi="ar-SA"/>
        </w:rPr>
        <w:t>.</w:t>
      </w:r>
      <w:r w:rsidR="00040603" w:rsidRPr="00040603">
        <w:t xml:space="preserve"> </w:t>
      </w:r>
      <w:r w:rsidR="00040603" w:rsidRPr="003E3492">
        <w:rPr>
          <w:szCs w:val="22"/>
        </w:rPr>
        <w:t xml:space="preserve">That section </w:t>
      </w:r>
      <w:r w:rsidR="00040603" w:rsidRPr="00A50347">
        <w:rPr>
          <w:rFonts w:cs="Arial"/>
          <w:szCs w:val="22"/>
        </w:rPr>
        <w:t>does not apply to bread that is represented as organic</w:t>
      </w:r>
      <w:r w:rsidR="00040603">
        <w:rPr>
          <w:lang w:bidi="ar-SA"/>
        </w:rPr>
        <w:t>.</w:t>
      </w:r>
      <w:r w:rsidR="000E230A" w:rsidRPr="005D7BEB">
        <w:rPr>
          <w:rStyle w:val="FootnoteReference"/>
          <w:lang w:bidi="ar-SA"/>
        </w:rPr>
        <w:footnoteReference w:id="4"/>
      </w:r>
    </w:p>
    <w:p w14:paraId="2AB6F695" w14:textId="37D5C572" w:rsidR="007A53BF" w:rsidRDefault="007A53BF" w:rsidP="00DA4316">
      <w:pPr>
        <w:pStyle w:val="Heading2"/>
        <w:ind w:left="0" w:firstLine="0"/>
      </w:pPr>
      <w:bookmarkStart w:id="23" w:name="_Toc134451271"/>
      <w:r w:rsidRPr="007A53BF">
        <w:t>1.</w:t>
      </w:r>
      <w:r w:rsidR="004D6A50">
        <w:t>2</w:t>
      </w:r>
      <w:r w:rsidRPr="007A53BF">
        <w:tab/>
        <w:t>The current Standard</w:t>
      </w:r>
      <w:bookmarkEnd w:id="19"/>
      <w:bookmarkEnd w:id="20"/>
      <w:bookmarkEnd w:id="21"/>
      <w:bookmarkEnd w:id="23"/>
    </w:p>
    <w:p w14:paraId="54D3363D" w14:textId="765C6D27" w:rsidR="004D6A50" w:rsidRDefault="002C7496" w:rsidP="00D81DE8">
      <w:pPr>
        <w:rPr>
          <w:lang w:bidi="ar-SA"/>
        </w:rPr>
      </w:pPr>
      <w:bookmarkStart w:id="24" w:name="_Toc286391007"/>
      <w:bookmarkStart w:id="25" w:name="_Toc300933423"/>
      <w:bookmarkStart w:id="26" w:name="_Toc370223468"/>
      <w:bookmarkStart w:id="27" w:name="_Toc175381432"/>
      <w:r>
        <w:rPr>
          <w:lang w:bidi="ar-SA"/>
        </w:rPr>
        <w:t xml:space="preserve">The approved draft variation will amend </w:t>
      </w:r>
      <w:r w:rsidR="004D6A50" w:rsidRPr="004D6A50">
        <w:rPr>
          <w:lang w:bidi="ar-SA"/>
        </w:rPr>
        <w:t>Standards 1.1.1, 1.1.2, 1.3.3, 2.1.1, 2.2.3, 2.9.1, 3.2.1, 3.2.2, 4.1.1, 4.2.1, 4.2.2, 4.2.3, and 4.2.8; and Schedules 3, 14, 18, 20 and 25, of the Code.</w:t>
      </w:r>
    </w:p>
    <w:p w14:paraId="537162DB" w14:textId="4E95305E" w:rsidR="007A53BF" w:rsidRPr="007E72C1" w:rsidRDefault="007A53BF" w:rsidP="00CE59AA">
      <w:pPr>
        <w:pStyle w:val="Heading2"/>
        <w:rPr>
          <w:u w:color="FFFF00"/>
        </w:rPr>
      </w:pPr>
      <w:bookmarkStart w:id="28" w:name="_Toc134451272"/>
      <w:r w:rsidRPr="007A53BF">
        <w:rPr>
          <w:u w:color="FFFF00"/>
        </w:rPr>
        <w:t>1.</w:t>
      </w:r>
      <w:r w:rsidR="007E72C1">
        <w:rPr>
          <w:u w:color="FFFF00"/>
        </w:rPr>
        <w:t>3</w:t>
      </w:r>
      <w:r w:rsidRPr="007A53BF">
        <w:rPr>
          <w:u w:color="FFFF00"/>
        </w:rPr>
        <w:tab/>
        <w:t xml:space="preserve">Reasons for </w:t>
      </w:r>
      <w:bookmarkEnd w:id="24"/>
      <w:bookmarkEnd w:id="25"/>
      <w:r w:rsidRPr="007E72C1">
        <w:t xml:space="preserve">preparing </w:t>
      </w:r>
      <w:r w:rsidR="007E72C1" w:rsidRPr="007E72C1">
        <w:t xml:space="preserve">the </w:t>
      </w:r>
      <w:r w:rsidRPr="007E72C1">
        <w:t>Proposal</w:t>
      </w:r>
      <w:bookmarkEnd w:id="26"/>
      <w:bookmarkEnd w:id="28"/>
    </w:p>
    <w:p w14:paraId="2FE51463" w14:textId="5B62E3AB" w:rsidR="0067317C" w:rsidRDefault="0067317C" w:rsidP="00D81DE8">
      <w:pPr>
        <w:rPr>
          <w:lang w:bidi="ar-SA"/>
        </w:rPr>
      </w:pPr>
      <w:bookmarkStart w:id="29" w:name="_Toc370223469"/>
      <w:bookmarkEnd w:id="27"/>
      <w:r w:rsidRPr="0067317C">
        <w:rPr>
          <w:lang w:bidi="ar-SA"/>
        </w:rPr>
        <w:t>Relatively minor errors and issues are identified in the Code from time-to-time. This Proposal was prepared to resolve them.</w:t>
      </w:r>
    </w:p>
    <w:p w14:paraId="5E65AF51" w14:textId="55402503" w:rsidR="007A53BF" w:rsidRPr="007A53BF" w:rsidRDefault="007A53BF" w:rsidP="00CE59AA">
      <w:pPr>
        <w:pStyle w:val="Heading2"/>
      </w:pPr>
      <w:bookmarkStart w:id="30" w:name="_Toc134451273"/>
      <w:r w:rsidRPr="007A53BF">
        <w:t>1.</w:t>
      </w:r>
      <w:r w:rsidR="00537F99">
        <w:t>4</w:t>
      </w:r>
      <w:r w:rsidRPr="007A53BF">
        <w:tab/>
        <w:t>Procedure for assessment</w:t>
      </w:r>
      <w:bookmarkEnd w:id="29"/>
      <w:bookmarkEnd w:id="30"/>
    </w:p>
    <w:p w14:paraId="7E03A16B" w14:textId="7C3C272B" w:rsidR="00AF397D" w:rsidRDefault="00AF397D" w:rsidP="00AF397D">
      <w:r w:rsidRPr="00932F14">
        <w:rPr>
          <w:lang w:bidi="ar-SA"/>
        </w:rPr>
        <w:t xml:space="preserve">The </w:t>
      </w:r>
      <w:r w:rsidRPr="00537F99">
        <w:rPr>
          <w:lang w:bidi="ar-SA"/>
        </w:rPr>
        <w:t>Proposal was assessed under the General</w:t>
      </w:r>
      <w:r w:rsidR="00537F99" w:rsidRPr="00537F99">
        <w:rPr>
          <w:lang w:bidi="ar-SA"/>
        </w:rPr>
        <w:t xml:space="preserve"> P</w:t>
      </w:r>
      <w:r w:rsidRPr="00537F99">
        <w:rPr>
          <w:lang w:bidi="ar-SA"/>
        </w:rPr>
        <w:t>rocedure</w:t>
      </w:r>
      <w:r w:rsidRPr="00932F14">
        <w:rPr>
          <w:lang w:bidi="ar-SA"/>
        </w:rPr>
        <w:t>.</w:t>
      </w:r>
    </w:p>
    <w:p w14:paraId="6C5494C2" w14:textId="083FB108" w:rsidR="00422EC9" w:rsidRDefault="007A53BF" w:rsidP="00422EC9">
      <w:pPr>
        <w:pStyle w:val="Heading2"/>
      </w:pPr>
      <w:bookmarkStart w:id="31" w:name="_Toc134451274"/>
      <w:r>
        <w:t>1</w:t>
      </w:r>
      <w:r w:rsidR="00422EC9">
        <w:t>.</w:t>
      </w:r>
      <w:r w:rsidR="002F2D7A">
        <w:t>5</w:t>
      </w:r>
      <w:r w:rsidR="00422EC9">
        <w:tab/>
      </w:r>
      <w:r w:rsidR="00422EC9" w:rsidRPr="00932F14">
        <w:t>Decision</w:t>
      </w:r>
      <w:bookmarkEnd w:id="31"/>
    </w:p>
    <w:p w14:paraId="7EF5E84F" w14:textId="20FC4957" w:rsidR="003E0B9F" w:rsidRPr="00BB4AC6" w:rsidRDefault="00422EC9" w:rsidP="002C1A3B">
      <w:r>
        <w:t xml:space="preserve">The draft </w:t>
      </w:r>
      <w:r w:rsidR="00E30092" w:rsidRPr="000449A5">
        <w:t xml:space="preserve">variation </w:t>
      </w:r>
      <w:r w:rsidRPr="000449A5">
        <w:t>a</w:t>
      </w:r>
      <w:r>
        <w:t xml:space="preserve">s proposed following assessment was approved </w:t>
      </w:r>
      <w:r w:rsidR="005E58D3" w:rsidRPr="003E0B9F">
        <w:t>with</w:t>
      </w:r>
      <w:r w:rsidR="005E58D3" w:rsidRPr="00E327A6">
        <w:rPr>
          <w:color w:val="FF0000"/>
        </w:rPr>
        <w:t xml:space="preserve"> </w:t>
      </w:r>
      <w:r w:rsidR="003E0B9F" w:rsidRPr="00BB4AC6">
        <w:t xml:space="preserve">the following </w:t>
      </w:r>
      <w:r w:rsidR="00955E8E" w:rsidRPr="00BB4AC6">
        <w:t xml:space="preserve">types of </w:t>
      </w:r>
      <w:r w:rsidR="003E0B9F" w:rsidRPr="00BB4AC6">
        <w:t>amendments</w:t>
      </w:r>
      <w:r w:rsidR="00016AA2" w:rsidRPr="00BB4AC6">
        <w:t xml:space="preserve"> </w:t>
      </w:r>
      <w:r w:rsidR="00B215D0" w:rsidRPr="00BB4AC6">
        <w:t xml:space="preserve">made </w:t>
      </w:r>
      <w:r w:rsidR="00016AA2" w:rsidRPr="00BB4AC6">
        <w:t>to the variation</w:t>
      </w:r>
      <w:r w:rsidR="003E0B9F" w:rsidRPr="00BB4AC6">
        <w:t>:</w:t>
      </w:r>
    </w:p>
    <w:p w14:paraId="48A8C052" w14:textId="77777777" w:rsidR="003E0B9F" w:rsidRPr="00BB4AC6" w:rsidRDefault="003E0B9F" w:rsidP="002C1A3B"/>
    <w:p w14:paraId="77BF9C20" w14:textId="686060AF" w:rsidR="0043428F" w:rsidRPr="00BB4AC6" w:rsidRDefault="0043428F" w:rsidP="003E0B9F">
      <w:pPr>
        <w:pStyle w:val="ListParagraph"/>
        <w:numPr>
          <w:ilvl w:val="0"/>
          <w:numId w:val="12"/>
        </w:numPr>
      </w:pPr>
      <w:bookmarkStart w:id="32" w:name="_Hlk128666658"/>
      <w:r w:rsidRPr="00BB4AC6">
        <w:t>an additional amendment at item [21];</w:t>
      </w:r>
    </w:p>
    <w:p w14:paraId="209A9738" w14:textId="1FB82DBE" w:rsidR="003E0B9F" w:rsidRPr="00BB4AC6" w:rsidRDefault="00820360" w:rsidP="003E0B9F">
      <w:pPr>
        <w:pStyle w:val="ListParagraph"/>
        <w:numPr>
          <w:ilvl w:val="0"/>
          <w:numId w:val="12"/>
        </w:numPr>
      </w:pPr>
      <w:r w:rsidRPr="00BB4AC6">
        <w:t>typographical</w:t>
      </w:r>
      <w:r w:rsidR="00E171FC" w:rsidRPr="00BB4AC6">
        <w:t xml:space="preserve"> </w:t>
      </w:r>
      <w:r w:rsidR="003E0B9F" w:rsidRPr="00BB4AC6">
        <w:t>amendments</w:t>
      </w:r>
      <w:r w:rsidR="0043428F" w:rsidRPr="00BB4AC6">
        <w:t xml:space="preserve"> to items [21], [22] and [58]</w:t>
      </w:r>
      <w:r w:rsidR="003E0B9F" w:rsidRPr="00BB4AC6">
        <w:t xml:space="preserve">; and </w:t>
      </w:r>
    </w:p>
    <w:p w14:paraId="1B57961D" w14:textId="42A46D8E" w:rsidR="000449A5" w:rsidRPr="00BB4AC6" w:rsidRDefault="005E58D3" w:rsidP="003E0B9F">
      <w:pPr>
        <w:pStyle w:val="ListParagraph"/>
        <w:numPr>
          <w:ilvl w:val="0"/>
          <w:numId w:val="12"/>
        </w:numPr>
      </w:pPr>
      <w:r w:rsidRPr="00BB4AC6">
        <w:t>amendments</w:t>
      </w:r>
      <w:r w:rsidR="003E0B9F" w:rsidRPr="00BB4AC6">
        <w:t xml:space="preserve"> to item [7] in relation to </w:t>
      </w:r>
      <w:r w:rsidR="00F83B68" w:rsidRPr="00BB4AC6">
        <w:t>information in a Note about access</w:t>
      </w:r>
      <w:r w:rsidR="0099659A" w:rsidRPr="00BB4AC6">
        <w:t>ing</w:t>
      </w:r>
      <w:r w:rsidR="003E0B9F" w:rsidRPr="00BB4AC6">
        <w:t xml:space="preserve"> the </w:t>
      </w:r>
      <w:r w:rsidR="005A795C" w:rsidRPr="00BB4AC6">
        <w:t>2019</w:t>
      </w:r>
      <w:r w:rsidR="003E0B9F" w:rsidRPr="00BB4AC6">
        <w:t xml:space="preserve"> edition of the Fish Names Standard</w:t>
      </w:r>
      <w:r w:rsidR="00422EC9" w:rsidRPr="00BB4AC6">
        <w:t>.</w:t>
      </w:r>
      <w:r w:rsidR="002C1A3B" w:rsidRPr="00BB4AC6">
        <w:t xml:space="preserve"> </w:t>
      </w:r>
    </w:p>
    <w:bookmarkEnd w:id="32"/>
    <w:p w14:paraId="026ACB47" w14:textId="77777777" w:rsidR="002845EF" w:rsidRPr="00BB4AC6" w:rsidRDefault="002845EF" w:rsidP="002845EF"/>
    <w:p w14:paraId="04837B84" w14:textId="796ABA92" w:rsidR="000449A5" w:rsidRDefault="002845EF" w:rsidP="002845EF">
      <w:r>
        <w:t xml:space="preserve">These amendments </w:t>
      </w:r>
      <w:r w:rsidR="0025114C">
        <w:t xml:space="preserve">were identified by submitters and </w:t>
      </w:r>
      <w:r>
        <w:t>are explained in the table to section 2.1 below.</w:t>
      </w:r>
    </w:p>
    <w:p w14:paraId="3AEEC6CC" w14:textId="77777777" w:rsidR="002845EF" w:rsidRDefault="002845EF" w:rsidP="002C1A3B"/>
    <w:p w14:paraId="03DBBF4E" w14:textId="6DC1B2A1" w:rsidR="00401ADE" w:rsidRDefault="000449A5" w:rsidP="002C1A3B">
      <w:r>
        <w:t>The</w:t>
      </w:r>
      <w:r w:rsidRPr="000449A5">
        <w:t xml:space="preserve"> approved draft variation is at Attachment A. </w:t>
      </w:r>
      <w:r w:rsidR="002C1A3B" w:rsidRPr="000449A5">
        <w:t xml:space="preserve">The </w:t>
      </w:r>
      <w:r w:rsidRPr="000449A5">
        <w:t xml:space="preserve">approved draft </w:t>
      </w:r>
      <w:r w:rsidR="002C1A3B" w:rsidRPr="000449A5">
        <w:t>variation tak</w:t>
      </w:r>
      <w:r w:rsidR="002C1A3B" w:rsidRPr="00D26814">
        <w:t>es effect on</w:t>
      </w:r>
      <w:r w:rsidR="002C1A3B">
        <w:t xml:space="preserve"> </w:t>
      </w:r>
      <w:r w:rsidR="00480EC3">
        <w:t xml:space="preserve">the date of gazettal. </w:t>
      </w:r>
    </w:p>
    <w:p w14:paraId="2046CB4F" w14:textId="77777777" w:rsidR="00401ADE" w:rsidRDefault="00401ADE" w:rsidP="00401ADE"/>
    <w:p w14:paraId="56F26379"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2BDF07A1" w14:textId="77777777" w:rsidR="002C1A3B" w:rsidRPr="00D26814" w:rsidRDefault="002C1A3B" w:rsidP="002C1A3B">
      <w:pPr>
        <w:rPr>
          <w:u w:val="single"/>
        </w:rPr>
      </w:pPr>
    </w:p>
    <w:p w14:paraId="263469D5" w14:textId="0F114FC2" w:rsidR="00422EC9" w:rsidRPr="00E20AAC" w:rsidRDefault="00422EC9" w:rsidP="00AF397D">
      <w:pPr>
        <w:rPr>
          <w:u w:val="single"/>
        </w:rPr>
      </w:pPr>
      <w:r w:rsidRPr="00E20AAC">
        <w:t xml:space="preserve">The draft </w:t>
      </w:r>
      <w:r w:rsidR="00E30092" w:rsidRPr="00E20AAC">
        <w:t xml:space="preserve">variation </w:t>
      </w:r>
      <w:r w:rsidRPr="00E20AAC">
        <w:t>on which submissions were sought is at Attachment C.</w:t>
      </w:r>
      <w:r w:rsidR="002C1A3B" w:rsidRPr="00E20AAC">
        <w:t xml:space="preserve"> </w:t>
      </w:r>
    </w:p>
    <w:p w14:paraId="43CCC8A6" w14:textId="77777777" w:rsidR="0012388D" w:rsidRDefault="007A53BF" w:rsidP="00755F02">
      <w:pPr>
        <w:pStyle w:val="Heading1"/>
      </w:pPr>
      <w:bookmarkStart w:id="33" w:name="_Toc134451275"/>
      <w:bookmarkStart w:id="34" w:name="_Toc11735630"/>
      <w:bookmarkStart w:id="35" w:name="_Toc29883114"/>
      <w:bookmarkStart w:id="36" w:name="_Toc41906801"/>
      <w:bookmarkStart w:id="37" w:name="_Toc41907548"/>
      <w:bookmarkStart w:id="38" w:name="_Toc120358578"/>
      <w:bookmarkStart w:id="39" w:name="_Toc175381435"/>
      <w:bookmarkEnd w:id="4"/>
      <w:bookmarkEnd w:id="5"/>
      <w:bookmarkEnd w:id="6"/>
      <w:bookmarkEnd w:id="7"/>
      <w:bookmarkEnd w:id="8"/>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223A71F5" w14:textId="77777777" w:rsidR="007A53BF" w:rsidRPr="002C1A3B" w:rsidRDefault="007A53BF" w:rsidP="007A53BF">
      <w:pPr>
        <w:pStyle w:val="Heading2"/>
      </w:pPr>
      <w:bookmarkStart w:id="40" w:name="_Toc300933438"/>
      <w:bookmarkStart w:id="41" w:name="_Toc370223471"/>
      <w:bookmarkStart w:id="42" w:name="_Toc370225386"/>
      <w:bookmarkStart w:id="43" w:name="_Toc134451276"/>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619FDD4A" w14:textId="063EA1EE" w:rsidR="00070652" w:rsidRPr="00FA47CF" w:rsidRDefault="00DC750C" w:rsidP="007A53BF">
      <w:pPr>
        <w:pStyle w:val="FSTableTitle"/>
        <w:rPr>
          <w:b w:val="0"/>
          <w:bCs/>
          <w:szCs w:val="22"/>
          <w:lang w:val="en-AU" w:eastAsia="en-GB" w:bidi="ar-SA"/>
        </w:rPr>
      </w:pPr>
      <w:r w:rsidRPr="00FA47CF">
        <w:rPr>
          <w:b w:val="0"/>
          <w:bCs/>
          <w:szCs w:val="22"/>
          <w:lang w:val="en-AU" w:eastAsia="en-GB" w:bidi="ar-SA"/>
        </w:rPr>
        <w:t>Four</w:t>
      </w:r>
      <w:r w:rsidR="00070652" w:rsidRPr="00FA47CF">
        <w:rPr>
          <w:b w:val="0"/>
          <w:bCs/>
          <w:szCs w:val="22"/>
          <w:lang w:val="en-AU" w:eastAsia="en-GB" w:bidi="ar-SA"/>
        </w:rPr>
        <w:t xml:space="preserve"> submissions were received in response to the call for public submissions.</w:t>
      </w:r>
    </w:p>
    <w:p w14:paraId="3498E662" w14:textId="68CB1B69" w:rsidR="001532A6" w:rsidRDefault="001532A6" w:rsidP="001532A6">
      <w:pPr>
        <w:rPr>
          <w:lang w:val="en-AU" w:eastAsia="en-GB" w:bidi="ar-SA"/>
        </w:rPr>
      </w:pPr>
    </w:p>
    <w:p w14:paraId="52E774DE" w14:textId="24526EC3" w:rsidR="001532A6" w:rsidRDefault="001532A6" w:rsidP="001532A6">
      <w:pPr>
        <w:rPr>
          <w:lang w:val="en-AU" w:eastAsia="en-GB" w:bidi="ar-SA"/>
        </w:rPr>
      </w:pPr>
      <w:r>
        <w:rPr>
          <w:lang w:val="en-AU" w:eastAsia="en-GB" w:bidi="ar-SA"/>
        </w:rPr>
        <w:t xml:space="preserve">The New Zealand Food </w:t>
      </w:r>
      <w:r w:rsidR="00BE3595">
        <w:rPr>
          <w:lang w:val="en-AU" w:eastAsia="en-GB" w:bidi="ar-SA"/>
        </w:rPr>
        <w:t>and</w:t>
      </w:r>
      <w:r>
        <w:rPr>
          <w:lang w:val="en-AU" w:eastAsia="en-GB" w:bidi="ar-SA"/>
        </w:rPr>
        <w:t xml:space="preserve"> Grocery Council </w:t>
      </w:r>
      <w:r w:rsidR="00403BCE">
        <w:rPr>
          <w:lang w:val="en-AU" w:eastAsia="en-GB" w:bidi="ar-SA"/>
        </w:rPr>
        <w:t>supported the draft variation, especially:</w:t>
      </w:r>
    </w:p>
    <w:p w14:paraId="52A1BA53" w14:textId="2175DD1E" w:rsidR="00403BCE" w:rsidRDefault="00403BCE" w:rsidP="001532A6">
      <w:pPr>
        <w:rPr>
          <w:lang w:val="en-AU" w:eastAsia="en-GB" w:bidi="ar-SA"/>
        </w:rPr>
      </w:pPr>
    </w:p>
    <w:p w14:paraId="56B5EFB2" w14:textId="3A6151F6" w:rsidR="00403BCE" w:rsidRPr="00403BCE" w:rsidRDefault="00403BCE" w:rsidP="00403BCE">
      <w:pPr>
        <w:pStyle w:val="ListParagraph"/>
        <w:numPr>
          <w:ilvl w:val="0"/>
          <w:numId w:val="13"/>
        </w:numPr>
        <w:rPr>
          <w:lang w:val="en-AU" w:eastAsia="en-GB" w:bidi="ar-SA"/>
        </w:rPr>
      </w:pPr>
      <w:r w:rsidRPr="00403BCE">
        <w:rPr>
          <w:lang w:val="en-AU" w:eastAsia="en-GB" w:bidi="ar-SA"/>
        </w:rPr>
        <w:t xml:space="preserve">amendments to notes reflecting New Zealand’s decision to fortify wheat flour for </w:t>
      </w:r>
    </w:p>
    <w:p w14:paraId="1CB95409" w14:textId="4292124C" w:rsidR="00403BCE" w:rsidRPr="00403BCE" w:rsidRDefault="00403BCE" w:rsidP="00FC4EC9">
      <w:pPr>
        <w:pStyle w:val="ListParagraph"/>
        <w:rPr>
          <w:lang w:val="en-AU" w:eastAsia="en-GB" w:bidi="ar-SA"/>
        </w:rPr>
      </w:pPr>
      <w:r w:rsidRPr="00403BCE">
        <w:rPr>
          <w:lang w:val="en-AU" w:eastAsia="en-GB" w:bidi="ar-SA"/>
        </w:rPr>
        <w:t xml:space="preserve">breadmaking with folic acid; </w:t>
      </w:r>
    </w:p>
    <w:p w14:paraId="149ADE25" w14:textId="323701F2" w:rsidR="00403BCE" w:rsidRPr="00403BCE" w:rsidRDefault="00403BCE" w:rsidP="00403BCE">
      <w:pPr>
        <w:pStyle w:val="ListParagraph"/>
        <w:numPr>
          <w:ilvl w:val="0"/>
          <w:numId w:val="13"/>
        </w:numPr>
        <w:rPr>
          <w:lang w:val="en-AU" w:eastAsia="en-GB" w:bidi="ar-SA"/>
        </w:rPr>
      </w:pPr>
      <w:r w:rsidRPr="00403BCE">
        <w:rPr>
          <w:lang w:val="en-AU" w:eastAsia="en-GB" w:bidi="ar-SA"/>
        </w:rPr>
        <w:t xml:space="preserve">adding the most recent references for JECFA manographs, the Food Chemicals </w:t>
      </w:r>
      <w:r w:rsidR="00D02DEC">
        <w:rPr>
          <w:lang w:val="en-AU" w:eastAsia="en-GB" w:bidi="ar-SA"/>
        </w:rPr>
        <w:t>C</w:t>
      </w:r>
      <w:r w:rsidRPr="00403BCE">
        <w:rPr>
          <w:lang w:val="en-AU" w:eastAsia="en-GB" w:bidi="ar-SA"/>
        </w:rPr>
        <w:t xml:space="preserve">odex, and the International Oenological Codex; and </w:t>
      </w:r>
    </w:p>
    <w:p w14:paraId="41B08F01" w14:textId="21AA7796" w:rsidR="00403BCE" w:rsidRPr="00403BCE" w:rsidRDefault="00403BCE" w:rsidP="00403BCE">
      <w:pPr>
        <w:pStyle w:val="ListParagraph"/>
        <w:numPr>
          <w:ilvl w:val="0"/>
          <w:numId w:val="13"/>
        </w:numPr>
        <w:rPr>
          <w:lang w:val="en-AU" w:eastAsia="en-GB" w:bidi="ar-SA"/>
        </w:rPr>
      </w:pPr>
      <w:r w:rsidRPr="00403BCE">
        <w:rPr>
          <w:lang w:val="en-AU" w:eastAsia="en-GB" w:bidi="ar-SA"/>
        </w:rPr>
        <w:t>correcting microorganism terms for consistency.</w:t>
      </w:r>
    </w:p>
    <w:p w14:paraId="41C617F2" w14:textId="6548C9E6" w:rsidR="00070652" w:rsidRDefault="00070652" w:rsidP="007A53BF">
      <w:pPr>
        <w:pStyle w:val="FSTableTitle"/>
      </w:pPr>
    </w:p>
    <w:p w14:paraId="5FA678F7" w14:textId="6F930315" w:rsidR="00240321" w:rsidRDefault="00BE3595" w:rsidP="00240321">
      <w:r>
        <w:t xml:space="preserve">The issues raised in the other </w:t>
      </w:r>
      <w:r w:rsidRPr="00FA47CF">
        <w:t>three</w:t>
      </w:r>
      <w:r>
        <w:t xml:space="preserve"> submissions from </w:t>
      </w:r>
      <w:r w:rsidRPr="00BE3595">
        <w:t>GE Free New Zealand</w:t>
      </w:r>
      <w:r>
        <w:t xml:space="preserve">, the New Zealand Food Safety </w:t>
      </w:r>
      <w:r w:rsidR="002726B4" w:rsidRPr="00673BFD">
        <w:t xml:space="preserve">Food Science </w:t>
      </w:r>
      <w:r w:rsidR="00240321">
        <w:t>and</w:t>
      </w:r>
      <w:r w:rsidR="002726B4" w:rsidRPr="00673BFD">
        <w:t xml:space="preserve"> Risk Assessment Directorate</w:t>
      </w:r>
      <w:r w:rsidR="002726B4">
        <w:t xml:space="preserve"> </w:t>
      </w:r>
      <w:r>
        <w:t>(New Zealand Ministry for Primary</w:t>
      </w:r>
      <w:r w:rsidR="002726B4">
        <w:t xml:space="preserve"> </w:t>
      </w:r>
      <w:r>
        <w:t>Industries)</w:t>
      </w:r>
      <w:r w:rsidR="00240321">
        <w:t>,</w:t>
      </w:r>
      <w:r>
        <w:t xml:space="preserve"> </w:t>
      </w:r>
      <w:r w:rsidR="002726B4">
        <w:t xml:space="preserve">and </w:t>
      </w:r>
      <w:r w:rsidR="00240321">
        <w:t>the Victorian Department of Health and the Victorian</w:t>
      </w:r>
    </w:p>
    <w:p w14:paraId="34767245" w14:textId="33DC63C5" w:rsidR="00BE3595" w:rsidRDefault="00240321" w:rsidP="00240321">
      <w:r>
        <w:t xml:space="preserve">Department of Energy, Environment and Climate Action, </w:t>
      </w:r>
      <w:r w:rsidR="00BE3595">
        <w:t>are considered in Table 1 below.</w:t>
      </w:r>
    </w:p>
    <w:p w14:paraId="1133D281" w14:textId="77777777" w:rsidR="00BE3595" w:rsidRPr="00BE3595" w:rsidRDefault="00BE3595" w:rsidP="00BE3595"/>
    <w:p w14:paraId="37327BD4" w14:textId="397B0A91" w:rsidR="007A53BF" w:rsidRDefault="007A53BF" w:rsidP="007A53BF">
      <w:pPr>
        <w:pStyle w:val="FSTableTitle"/>
      </w:pPr>
      <w:r>
        <w:t xml:space="preserve">Table 1: Summary of issues </w:t>
      </w:r>
    </w:p>
    <w:p w14:paraId="26C533DB" w14:textId="77777777" w:rsidR="007A53BF" w:rsidRPr="00B853D2" w:rsidRDefault="007A53BF" w:rsidP="007A53BF"/>
    <w:tbl>
      <w:tblPr>
        <w:tblStyle w:val="MediumShading1-Accent3"/>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18"/>
        <w:gridCol w:w="3020"/>
      </w:tblGrid>
      <w:tr w:rsidR="00751395" w14:paraId="5E9DCE30" w14:textId="77777777" w:rsidTr="006279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2" w:type="dxa"/>
          </w:tcPr>
          <w:p w14:paraId="7663291A" w14:textId="77777777" w:rsidR="007A53BF" w:rsidRPr="008C4E76" w:rsidRDefault="007A53BF" w:rsidP="008C4E76">
            <w:pPr>
              <w:pStyle w:val="FSTableHeading"/>
              <w:rPr>
                <w:b/>
              </w:rPr>
            </w:pPr>
            <w:r w:rsidRPr="008C4E76">
              <w:rPr>
                <w:b/>
              </w:rPr>
              <w:t>Issue</w:t>
            </w:r>
          </w:p>
        </w:tc>
        <w:tc>
          <w:tcPr>
            <w:tcW w:w="3018" w:type="dxa"/>
          </w:tcPr>
          <w:p w14:paraId="552CD4C3"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020" w:type="dxa"/>
          </w:tcPr>
          <w:p w14:paraId="33EB22AB" w14:textId="4DDEC4D8" w:rsidR="001D43F6"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627971" w14:paraId="6AD58D32" w14:textId="77777777" w:rsidTr="006279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22" w:type="dxa"/>
            <w:tcBorders>
              <w:bottom w:val="single" w:sz="4" w:space="0" w:color="auto"/>
              <w:right w:val="single" w:sz="4" w:space="0" w:color="auto"/>
            </w:tcBorders>
          </w:tcPr>
          <w:p w14:paraId="758D23E1" w14:textId="77777777" w:rsidR="001D7706" w:rsidRDefault="001D7706" w:rsidP="008C4E76">
            <w:pPr>
              <w:pStyle w:val="FSTableText"/>
              <w:rPr>
                <w:rStyle w:val="cf01"/>
                <w:rFonts w:ascii="Arial" w:hAnsi="Arial" w:cs="Arial"/>
                <w:sz w:val="20"/>
                <w:szCs w:val="20"/>
              </w:rPr>
            </w:pPr>
          </w:p>
          <w:p w14:paraId="38FCEE65" w14:textId="29EC8BD2" w:rsidR="00B522F8" w:rsidRPr="002169FF" w:rsidRDefault="001D7706" w:rsidP="008C4E76">
            <w:pPr>
              <w:pStyle w:val="FSTableText"/>
              <w:rPr>
                <w:b w:val="0"/>
                <w:bCs w:val="0"/>
              </w:rPr>
            </w:pPr>
            <w:r w:rsidRPr="00465197">
              <w:rPr>
                <w:rStyle w:val="cf01"/>
                <w:rFonts w:ascii="Arial" w:hAnsi="Arial" w:cs="Arial"/>
                <w:b w:val="0"/>
                <w:bCs w:val="0"/>
                <w:sz w:val="20"/>
                <w:szCs w:val="20"/>
              </w:rPr>
              <w:t>The reference in the CFS to fortification of ‘</w:t>
            </w:r>
            <w:r w:rsidRPr="00465197">
              <w:rPr>
                <w:rStyle w:val="cf11"/>
                <w:rFonts w:ascii="Arial" w:hAnsi="Arial" w:cs="Arial"/>
                <w:b w:val="0"/>
                <w:bCs w:val="0"/>
                <w:sz w:val="20"/>
                <w:szCs w:val="20"/>
              </w:rPr>
              <w:t>all</w:t>
            </w:r>
            <w:r w:rsidRPr="00465197">
              <w:rPr>
                <w:rStyle w:val="cf01"/>
                <w:rFonts w:ascii="Arial" w:hAnsi="Arial" w:cs="Arial"/>
                <w:b w:val="0"/>
                <w:bCs w:val="0"/>
                <w:sz w:val="20"/>
                <w:szCs w:val="20"/>
              </w:rPr>
              <w:t xml:space="preserve"> wheat flour that is sold as suitable for bread-making in New Zealand’ is inaccurate. It should refer to ‘</w:t>
            </w:r>
            <w:r w:rsidRPr="00465197">
              <w:rPr>
                <w:rStyle w:val="cf11"/>
                <w:rFonts w:ascii="Arial" w:hAnsi="Arial" w:cs="Arial"/>
                <w:b w:val="0"/>
                <w:bCs w:val="0"/>
                <w:sz w:val="20"/>
                <w:szCs w:val="20"/>
              </w:rPr>
              <w:t>non-organic</w:t>
            </w:r>
            <w:r w:rsidRPr="00465197">
              <w:rPr>
                <w:rStyle w:val="cf01"/>
                <w:rFonts w:ascii="Arial" w:hAnsi="Arial" w:cs="Arial"/>
                <w:b w:val="0"/>
                <w:bCs w:val="0"/>
                <w:sz w:val="20"/>
                <w:szCs w:val="20"/>
              </w:rPr>
              <w:t xml:space="preserve"> wheat flour that is sold as suitable for bread-making in New Zealand’ which is consistent with the New Zealand Government’s media release regarding its decision.</w:t>
            </w:r>
          </w:p>
          <w:p w14:paraId="66FBFFFF" w14:textId="47550E3C" w:rsidR="00D1670B" w:rsidRPr="000778D6" w:rsidRDefault="00D1670B" w:rsidP="008C4E76">
            <w:pPr>
              <w:pStyle w:val="FSTableText"/>
            </w:pPr>
          </w:p>
        </w:tc>
        <w:tc>
          <w:tcPr>
            <w:tcW w:w="3018" w:type="dxa"/>
            <w:tcBorders>
              <w:top w:val="single" w:sz="8" w:space="0" w:color="B3CC82" w:themeColor="accent3" w:themeTint="BF"/>
              <w:left w:val="single" w:sz="4" w:space="0" w:color="auto"/>
              <w:bottom w:val="single" w:sz="4" w:space="0" w:color="auto"/>
              <w:right w:val="single" w:sz="4" w:space="0" w:color="auto"/>
            </w:tcBorders>
          </w:tcPr>
          <w:p w14:paraId="6A71797E" w14:textId="77777777" w:rsidR="007A53BF" w:rsidRDefault="007A53BF" w:rsidP="008C4E76">
            <w:pPr>
              <w:pStyle w:val="FSTableText"/>
              <w:cnfStyle w:val="000000100000" w:firstRow="0" w:lastRow="0" w:firstColumn="0" w:lastColumn="0" w:oddVBand="0" w:evenVBand="0" w:oddHBand="1" w:evenHBand="0" w:firstRowFirstColumn="0" w:firstRowLastColumn="0" w:lastRowFirstColumn="0" w:lastRowLastColumn="0"/>
            </w:pPr>
          </w:p>
          <w:p w14:paraId="492B010B" w14:textId="06A97465" w:rsidR="004E4290" w:rsidRDefault="004E4290" w:rsidP="008C4E76">
            <w:pPr>
              <w:pStyle w:val="FSTableText"/>
              <w:cnfStyle w:val="000000100000" w:firstRow="0" w:lastRow="0" w:firstColumn="0" w:lastColumn="0" w:oddVBand="0" w:evenVBand="0" w:oddHBand="1" w:evenHBand="0" w:firstRowFirstColumn="0" w:firstRowLastColumn="0" w:lastRowFirstColumn="0" w:lastRowLastColumn="0"/>
            </w:pPr>
            <w:r w:rsidRPr="004E4290">
              <w:t>GE Free New Zealand</w:t>
            </w:r>
          </w:p>
          <w:p w14:paraId="6C98BD70" w14:textId="3BC329E5" w:rsidR="004E4290" w:rsidRPr="000778D6" w:rsidRDefault="004E4290" w:rsidP="008C4E76">
            <w:pPr>
              <w:pStyle w:val="FSTableText"/>
              <w:cnfStyle w:val="000000100000" w:firstRow="0" w:lastRow="0" w:firstColumn="0" w:lastColumn="0" w:oddVBand="0" w:evenVBand="0" w:oddHBand="1" w:evenHBand="0" w:firstRowFirstColumn="0" w:firstRowLastColumn="0" w:lastRowFirstColumn="0" w:lastRowLastColumn="0"/>
            </w:pPr>
          </w:p>
        </w:tc>
        <w:tc>
          <w:tcPr>
            <w:tcW w:w="3020" w:type="dxa"/>
            <w:tcBorders>
              <w:top w:val="single" w:sz="8" w:space="0" w:color="B3CC82" w:themeColor="accent3" w:themeTint="BF"/>
              <w:left w:val="single" w:sz="4" w:space="0" w:color="auto"/>
            </w:tcBorders>
          </w:tcPr>
          <w:p w14:paraId="79D0620E" w14:textId="77777777" w:rsidR="007A53BF" w:rsidRPr="001D7706" w:rsidRDefault="007A53BF" w:rsidP="008C4E76">
            <w:pPr>
              <w:pStyle w:val="FSTableText"/>
              <w:cnfStyle w:val="000000100000" w:firstRow="0" w:lastRow="0" w:firstColumn="0" w:lastColumn="0" w:oddVBand="0" w:evenVBand="0" w:oddHBand="1" w:evenHBand="0" w:firstRowFirstColumn="0" w:firstRowLastColumn="0" w:lastRowFirstColumn="0" w:lastRowLastColumn="0"/>
            </w:pPr>
          </w:p>
          <w:p w14:paraId="3AA86FCB" w14:textId="065B0BDA" w:rsidR="00751395" w:rsidRPr="001D7706" w:rsidRDefault="00E25ADE" w:rsidP="008C4E76">
            <w:pPr>
              <w:pStyle w:val="FSTableText"/>
              <w:cnfStyle w:val="000000100000" w:firstRow="0" w:lastRow="0" w:firstColumn="0" w:lastColumn="0" w:oddVBand="0" w:evenVBand="0" w:oddHBand="1" w:evenHBand="0" w:firstRowFirstColumn="0" w:firstRowLastColumn="0" w:lastRowFirstColumn="0" w:lastRowLastColumn="0"/>
            </w:pPr>
            <w:r w:rsidRPr="001D7706">
              <w:t>N</w:t>
            </w:r>
            <w:r w:rsidR="00751395" w:rsidRPr="001D7706">
              <w:t>oted</w:t>
            </w:r>
            <w:r w:rsidRPr="001D7706">
              <w:t>.</w:t>
            </w:r>
            <w:r w:rsidR="001D7706" w:rsidRPr="001D7706">
              <w:t xml:space="preserve">  FSANZ has amended the</w:t>
            </w:r>
            <w:r w:rsidRPr="001D7706">
              <w:t xml:space="preserve"> </w:t>
            </w:r>
            <w:r w:rsidR="001D7706" w:rsidRPr="001D7706">
              <w:t>references</w:t>
            </w:r>
            <w:r w:rsidR="00A35567" w:rsidRPr="001D7706">
              <w:t xml:space="preserve"> </w:t>
            </w:r>
            <w:r w:rsidR="00751395" w:rsidRPr="001D7706">
              <w:t>in this report</w:t>
            </w:r>
            <w:r w:rsidR="00E94404" w:rsidRPr="001D7706">
              <w:t xml:space="preserve"> and the SD</w:t>
            </w:r>
            <w:r w:rsidR="00A35567" w:rsidRPr="001D7706">
              <w:t xml:space="preserve"> </w:t>
            </w:r>
            <w:r w:rsidR="00803691" w:rsidRPr="001D7706">
              <w:t>accordingly</w:t>
            </w:r>
            <w:r w:rsidR="00751395" w:rsidRPr="001D7706">
              <w:t>.</w:t>
            </w:r>
          </w:p>
        </w:tc>
      </w:tr>
      <w:tr w:rsidR="00751395" w14:paraId="23E72EDB" w14:textId="77777777" w:rsidTr="00CC48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22" w:type="dxa"/>
            <w:tcBorders>
              <w:right w:val="single" w:sz="4" w:space="0" w:color="auto"/>
            </w:tcBorders>
          </w:tcPr>
          <w:p w14:paraId="1701EC88" w14:textId="77777777" w:rsidR="007A53BF" w:rsidRDefault="007A53BF" w:rsidP="008C4E76">
            <w:pPr>
              <w:pStyle w:val="FSTableText"/>
              <w:rPr>
                <w:b w:val="0"/>
                <w:bCs w:val="0"/>
              </w:rPr>
            </w:pPr>
          </w:p>
          <w:p w14:paraId="7B778DCC" w14:textId="13AF6CAE" w:rsidR="005B4FCB" w:rsidRDefault="001D7706" w:rsidP="008C4E76">
            <w:pPr>
              <w:pStyle w:val="FSTableText"/>
            </w:pPr>
            <w:r>
              <w:rPr>
                <w:b w:val="0"/>
                <w:bCs w:val="0"/>
              </w:rPr>
              <w:t>The draf</w:t>
            </w:r>
            <w:r w:rsidR="00396670">
              <w:rPr>
                <w:b w:val="0"/>
                <w:bCs w:val="0"/>
              </w:rPr>
              <w:t xml:space="preserve">t </w:t>
            </w:r>
            <w:r>
              <w:rPr>
                <w:b w:val="0"/>
                <w:bCs w:val="0"/>
              </w:rPr>
              <w:t xml:space="preserve">variation contains </w:t>
            </w:r>
            <w:r w:rsidR="00396670">
              <w:rPr>
                <w:b w:val="0"/>
                <w:bCs w:val="0"/>
              </w:rPr>
              <w:t xml:space="preserve">two </w:t>
            </w:r>
            <w:r>
              <w:rPr>
                <w:b w:val="0"/>
                <w:bCs w:val="0"/>
              </w:rPr>
              <w:t>typographical errors</w:t>
            </w:r>
            <w:r w:rsidR="006933FE" w:rsidRPr="00D23201">
              <w:rPr>
                <w:b w:val="0"/>
                <w:bCs w:val="0"/>
              </w:rPr>
              <w:t>.</w:t>
            </w:r>
          </w:p>
          <w:p w14:paraId="5955E4CF" w14:textId="77777777" w:rsidR="007D2910" w:rsidRDefault="007D2910" w:rsidP="008C4E76">
            <w:pPr>
              <w:pStyle w:val="FSTableText"/>
            </w:pPr>
          </w:p>
          <w:p w14:paraId="6615BADF" w14:textId="782F4EA3" w:rsidR="007D2910" w:rsidRDefault="00675D61" w:rsidP="00675D61">
            <w:pPr>
              <w:pStyle w:val="FSTableText"/>
            </w:pPr>
            <w:r w:rsidRPr="002169FF">
              <w:t>Item [22]</w:t>
            </w:r>
            <w:r w:rsidRPr="00675D61">
              <w:t xml:space="preserve"> </w:t>
            </w:r>
            <w:r>
              <w:rPr>
                <w:b w:val="0"/>
                <w:bCs w:val="0"/>
              </w:rPr>
              <w:t>of the draft variation - t</w:t>
            </w:r>
            <w:r w:rsidRPr="00675D61">
              <w:rPr>
                <w:b w:val="0"/>
                <w:bCs w:val="0"/>
              </w:rPr>
              <w:t>he microorganism name “salmonella” should also be capitalised for subparagraph S3—14(2)(f)(v)</w:t>
            </w:r>
            <w:r w:rsidR="00F31FA8">
              <w:rPr>
                <w:b w:val="0"/>
                <w:bCs w:val="0"/>
              </w:rPr>
              <w:t xml:space="preserve"> (in addition to the provisions already listed</w:t>
            </w:r>
            <w:r w:rsidR="00E010FA">
              <w:rPr>
                <w:b w:val="0"/>
                <w:bCs w:val="0"/>
              </w:rPr>
              <w:t>)</w:t>
            </w:r>
            <w:r w:rsidRPr="00675D61">
              <w:rPr>
                <w:b w:val="0"/>
                <w:bCs w:val="0"/>
              </w:rPr>
              <w:t>.</w:t>
            </w:r>
          </w:p>
          <w:p w14:paraId="522A2735" w14:textId="77777777" w:rsidR="00675D61" w:rsidRDefault="00675D61" w:rsidP="00675D61">
            <w:pPr>
              <w:pStyle w:val="FSTableText"/>
            </w:pPr>
          </w:p>
          <w:p w14:paraId="1D9697D3" w14:textId="5798C394" w:rsidR="009601B2" w:rsidRPr="009601B2" w:rsidRDefault="00302CCE" w:rsidP="00B522F8">
            <w:pPr>
              <w:pStyle w:val="FSTableText"/>
              <w:rPr>
                <w:b w:val="0"/>
                <w:bCs w:val="0"/>
              </w:rPr>
            </w:pPr>
            <w:r w:rsidRPr="002169FF">
              <w:t>Item [58]</w:t>
            </w:r>
            <w:r>
              <w:t xml:space="preserve"> </w:t>
            </w:r>
            <w:r>
              <w:rPr>
                <w:b w:val="0"/>
                <w:bCs w:val="0"/>
              </w:rPr>
              <w:t xml:space="preserve">of the draft variation </w:t>
            </w:r>
            <w:r w:rsidRPr="00302CCE">
              <w:rPr>
                <w:b w:val="0"/>
                <w:bCs w:val="0"/>
              </w:rPr>
              <w:t>-</w:t>
            </w:r>
            <w:r>
              <w:t xml:space="preserve"> </w:t>
            </w:r>
            <w:r w:rsidRPr="00302CCE">
              <w:rPr>
                <w:b w:val="0"/>
                <w:bCs w:val="0"/>
              </w:rPr>
              <w:t xml:space="preserve">the correct provision listing specifications for rapeseed protein isolate should be section </w:t>
            </w:r>
            <w:r>
              <w:rPr>
                <w:b w:val="0"/>
                <w:bCs w:val="0"/>
              </w:rPr>
              <w:t>‘</w:t>
            </w:r>
            <w:r w:rsidRPr="00302CCE">
              <w:rPr>
                <w:b w:val="0"/>
                <w:bCs w:val="0"/>
              </w:rPr>
              <w:t>S3—39(A)</w:t>
            </w:r>
            <w:r>
              <w:rPr>
                <w:b w:val="0"/>
                <w:bCs w:val="0"/>
              </w:rPr>
              <w:t>’</w:t>
            </w:r>
            <w:r w:rsidRPr="00302CCE">
              <w:rPr>
                <w:b w:val="0"/>
                <w:bCs w:val="0"/>
              </w:rPr>
              <w:t xml:space="preserve"> instead of </w:t>
            </w:r>
            <w:r>
              <w:rPr>
                <w:b w:val="0"/>
                <w:bCs w:val="0"/>
              </w:rPr>
              <w:t>‘</w:t>
            </w:r>
            <w:r w:rsidRPr="00302CCE">
              <w:rPr>
                <w:b w:val="0"/>
                <w:bCs w:val="0"/>
              </w:rPr>
              <w:t>S3-39A</w:t>
            </w:r>
            <w:r>
              <w:rPr>
                <w:b w:val="0"/>
                <w:bCs w:val="0"/>
              </w:rPr>
              <w:t>’</w:t>
            </w:r>
            <w:r w:rsidRPr="00302CCE">
              <w:rPr>
                <w:b w:val="0"/>
                <w:bCs w:val="0"/>
              </w:rPr>
              <w:t>.</w:t>
            </w:r>
          </w:p>
        </w:tc>
        <w:tc>
          <w:tcPr>
            <w:tcW w:w="3018" w:type="dxa"/>
            <w:tcBorders>
              <w:top w:val="single" w:sz="4" w:space="0" w:color="auto"/>
              <w:left w:val="single" w:sz="4" w:space="0" w:color="auto"/>
              <w:bottom w:val="single" w:sz="4" w:space="0" w:color="auto"/>
              <w:right w:val="single" w:sz="4" w:space="0" w:color="auto"/>
            </w:tcBorders>
          </w:tcPr>
          <w:p w14:paraId="46C39C1B" w14:textId="77777777" w:rsidR="007A53BF" w:rsidRDefault="007A53BF" w:rsidP="008C4E76">
            <w:pPr>
              <w:pStyle w:val="FSTableText"/>
              <w:cnfStyle w:val="000000010000" w:firstRow="0" w:lastRow="0" w:firstColumn="0" w:lastColumn="0" w:oddVBand="0" w:evenVBand="0" w:oddHBand="0" w:evenHBand="1" w:firstRowFirstColumn="0" w:firstRowLastColumn="0" w:lastRowFirstColumn="0" w:lastRowLastColumn="0"/>
            </w:pPr>
          </w:p>
          <w:p w14:paraId="3FD6E978" w14:textId="0740D24F" w:rsidR="005B4FCB" w:rsidRDefault="005B4FCB" w:rsidP="008C4E76">
            <w:pPr>
              <w:pStyle w:val="FSTableText"/>
              <w:cnfStyle w:val="000000010000" w:firstRow="0" w:lastRow="0" w:firstColumn="0" w:lastColumn="0" w:oddVBand="0" w:evenVBand="0" w:oddHBand="0" w:evenHBand="1" w:firstRowFirstColumn="0" w:firstRowLastColumn="0" w:lastRowFirstColumn="0" w:lastRowLastColumn="0"/>
            </w:pPr>
            <w:r>
              <w:t xml:space="preserve">New Zealand Food Safety, </w:t>
            </w:r>
            <w:r w:rsidR="00673BFD" w:rsidRPr="00673BFD">
              <w:t xml:space="preserve">Food Science </w:t>
            </w:r>
            <w:r w:rsidR="00240321">
              <w:t>and</w:t>
            </w:r>
            <w:r w:rsidR="00673BFD" w:rsidRPr="00673BFD">
              <w:t xml:space="preserve"> Risk Assessment Directorate</w:t>
            </w:r>
            <w:r w:rsidR="00673BFD">
              <w:t>,</w:t>
            </w:r>
            <w:r w:rsidR="00673BFD" w:rsidRPr="00673BFD">
              <w:t xml:space="preserve"> </w:t>
            </w:r>
            <w:r>
              <w:t>Ministry for Primary Industries</w:t>
            </w:r>
            <w:r w:rsidR="00586D96">
              <w:t xml:space="preserve"> (MPI)</w:t>
            </w:r>
          </w:p>
          <w:p w14:paraId="354B396B" w14:textId="7C255911" w:rsidR="005B4FCB" w:rsidRPr="000778D6" w:rsidRDefault="005B4FCB" w:rsidP="008C4E76">
            <w:pPr>
              <w:pStyle w:val="FSTableText"/>
              <w:cnfStyle w:val="000000010000" w:firstRow="0" w:lastRow="0" w:firstColumn="0" w:lastColumn="0" w:oddVBand="0" w:evenVBand="0" w:oddHBand="0" w:evenHBand="1" w:firstRowFirstColumn="0" w:firstRowLastColumn="0" w:lastRowFirstColumn="0" w:lastRowLastColumn="0"/>
            </w:pPr>
          </w:p>
        </w:tc>
        <w:tc>
          <w:tcPr>
            <w:tcW w:w="3020" w:type="dxa"/>
            <w:tcBorders>
              <w:left w:val="single" w:sz="4" w:space="0" w:color="auto"/>
            </w:tcBorders>
          </w:tcPr>
          <w:p w14:paraId="70FD8E5D" w14:textId="77777777" w:rsidR="007A53BF" w:rsidRDefault="007A53BF" w:rsidP="008C4E76">
            <w:pPr>
              <w:pStyle w:val="FSTableText"/>
              <w:cnfStyle w:val="000000010000" w:firstRow="0" w:lastRow="0" w:firstColumn="0" w:lastColumn="0" w:oddVBand="0" w:evenVBand="0" w:oddHBand="0" w:evenHBand="1" w:firstRowFirstColumn="0" w:firstRowLastColumn="0" w:lastRowFirstColumn="0" w:lastRowLastColumn="0"/>
            </w:pPr>
          </w:p>
          <w:p w14:paraId="64915B7B" w14:textId="6B653931" w:rsidR="006933FE" w:rsidRDefault="000F558F" w:rsidP="008C4E76">
            <w:pPr>
              <w:pStyle w:val="FSTableText"/>
              <w:cnfStyle w:val="000000010000" w:firstRow="0" w:lastRow="0" w:firstColumn="0" w:lastColumn="0" w:oddVBand="0" w:evenVBand="0" w:oddHBand="0" w:evenHBand="1" w:firstRowFirstColumn="0" w:firstRowLastColumn="0" w:lastRowFirstColumn="0" w:lastRowLastColumn="0"/>
            </w:pPr>
            <w:r>
              <w:t>N</w:t>
            </w:r>
            <w:r w:rsidR="006933FE">
              <w:t>oted.</w:t>
            </w:r>
            <w:r w:rsidR="00B522F8">
              <w:t xml:space="preserve"> Both errors have been corrected </w:t>
            </w:r>
            <w:r w:rsidR="006933FE">
              <w:t>in the approved draft variation</w:t>
            </w:r>
            <w:r w:rsidR="00D23201">
              <w:t>.</w:t>
            </w:r>
          </w:p>
          <w:p w14:paraId="310AD2CA" w14:textId="07456CF9" w:rsidR="009A2C96" w:rsidRDefault="009A2C96" w:rsidP="008C4E76">
            <w:pPr>
              <w:pStyle w:val="FSTableText"/>
              <w:cnfStyle w:val="000000010000" w:firstRow="0" w:lastRow="0" w:firstColumn="0" w:lastColumn="0" w:oddVBand="0" w:evenVBand="0" w:oddHBand="0" w:evenHBand="1" w:firstRowFirstColumn="0" w:firstRowLastColumn="0" w:lastRowFirstColumn="0" w:lastRowLastColumn="0"/>
            </w:pPr>
          </w:p>
          <w:p w14:paraId="0D723AEA" w14:textId="6AC5B148" w:rsidR="009A2C96" w:rsidRDefault="009A2C96" w:rsidP="008C4E76">
            <w:pPr>
              <w:pStyle w:val="FSTableText"/>
              <w:cnfStyle w:val="000000010000" w:firstRow="0" w:lastRow="0" w:firstColumn="0" w:lastColumn="0" w:oddVBand="0" w:evenVBand="0" w:oddHBand="0" w:evenHBand="1" w:firstRowFirstColumn="0" w:firstRowLastColumn="0" w:lastRowFirstColumn="0" w:lastRowLastColumn="0"/>
            </w:pPr>
          </w:p>
          <w:p w14:paraId="21E68774" w14:textId="6573F3C4" w:rsidR="00D23201" w:rsidRPr="000778D6" w:rsidRDefault="00D23201" w:rsidP="00B522F8">
            <w:pPr>
              <w:pStyle w:val="FSTableText"/>
              <w:cnfStyle w:val="000000010000" w:firstRow="0" w:lastRow="0" w:firstColumn="0" w:lastColumn="0" w:oddVBand="0" w:evenVBand="0" w:oddHBand="0" w:evenHBand="1" w:firstRowFirstColumn="0" w:firstRowLastColumn="0" w:lastRowFirstColumn="0" w:lastRowLastColumn="0"/>
            </w:pPr>
          </w:p>
        </w:tc>
      </w:tr>
      <w:tr w:rsidR="001D7706" w14:paraId="62274E8A" w14:textId="77777777" w:rsidTr="00CC48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22" w:type="dxa"/>
            <w:tcBorders>
              <w:right w:val="single" w:sz="4" w:space="0" w:color="auto"/>
            </w:tcBorders>
          </w:tcPr>
          <w:p w14:paraId="2C5CB1B8" w14:textId="72209041" w:rsidR="002408F6" w:rsidRDefault="002408F6" w:rsidP="001D7706">
            <w:pPr>
              <w:pStyle w:val="FSTableText"/>
            </w:pPr>
          </w:p>
          <w:p w14:paraId="63E54705" w14:textId="4BF9060A" w:rsidR="002408F6" w:rsidRPr="00E068B0" w:rsidRDefault="002408F6" w:rsidP="002408F6">
            <w:pPr>
              <w:pStyle w:val="FSTableText"/>
            </w:pPr>
            <w:r>
              <w:rPr>
                <w:b w:val="0"/>
                <w:bCs w:val="0"/>
              </w:rPr>
              <w:t>The draft variation corrects a formatting error in</w:t>
            </w:r>
            <w:r w:rsidR="000E51E4">
              <w:rPr>
                <w:b w:val="0"/>
                <w:bCs w:val="0"/>
              </w:rPr>
              <w:t xml:space="preserve"> </w:t>
            </w:r>
            <w:r w:rsidR="000E51E4" w:rsidRPr="00933DE5">
              <w:rPr>
                <w:b w:val="0"/>
                <w:bCs w:val="0"/>
              </w:rPr>
              <w:t>paragraph S3—43</w:t>
            </w:r>
            <w:r w:rsidR="002169FF">
              <w:rPr>
                <w:b w:val="0"/>
                <w:bCs w:val="0"/>
              </w:rPr>
              <w:t xml:space="preserve">(a). </w:t>
            </w:r>
            <w:r w:rsidR="000E51E4">
              <w:rPr>
                <w:b w:val="0"/>
                <w:bCs w:val="0"/>
              </w:rPr>
              <w:t>However, t</w:t>
            </w:r>
            <w:r>
              <w:rPr>
                <w:b w:val="0"/>
                <w:bCs w:val="0"/>
              </w:rPr>
              <w:t>he</w:t>
            </w:r>
            <w:r w:rsidR="000E51E4">
              <w:rPr>
                <w:b w:val="0"/>
                <w:bCs w:val="0"/>
              </w:rPr>
              <w:t xml:space="preserve">re is </w:t>
            </w:r>
            <w:r w:rsidR="002169FF">
              <w:rPr>
                <w:b w:val="0"/>
                <w:bCs w:val="0"/>
              </w:rPr>
              <w:t>also a</w:t>
            </w:r>
            <w:r w:rsidR="00442520">
              <w:rPr>
                <w:b w:val="0"/>
                <w:bCs w:val="0"/>
              </w:rPr>
              <w:t xml:space="preserve"> </w:t>
            </w:r>
            <w:r w:rsidR="000E51E4">
              <w:rPr>
                <w:b w:val="0"/>
                <w:bCs w:val="0"/>
              </w:rPr>
              <w:t xml:space="preserve">similar formatting error in section </w:t>
            </w:r>
            <w:r w:rsidR="000E51E4" w:rsidRPr="00933DE5">
              <w:rPr>
                <w:b w:val="0"/>
                <w:bCs w:val="0"/>
              </w:rPr>
              <w:t>S3—43</w:t>
            </w:r>
            <w:r w:rsidR="000E51E4">
              <w:rPr>
                <w:b w:val="0"/>
                <w:bCs w:val="0"/>
              </w:rPr>
              <w:t xml:space="preserve"> in the</w:t>
            </w:r>
            <w:r>
              <w:rPr>
                <w:b w:val="0"/>
                <w:bCs w:val="0"/>
              </w:rPr>
              <w:t xml:space="preserve"> PDF version of Schedule 3 of the Code published on the Federal Register of Legislation (the Register)</w:t>
            </w:r>
            <w:r w:rsidR="000E51E4">
              <w:rPr>
                <w:b w:val="0"/>
                <w:bCs w:val="0"/>
              </w:rPr>
              <w:t xml:space="preserve">. The sentence appearing immediately above </w:t>
            </w:r>
            <w:r w:rsidR="000E51E4" w:rsidRPr="00933DE5">
              <w:rPr>
                <w:b w:val="0"/>
                <w:bCs w:val="0"/>
              </w:rPr>
              <w:t>paragraph S3—43(a</w:t>
            </w:r>
            <w:r w:rsidR="000E51E4">
              <w:rPr>
                <w:b w:val="0"/>
                <w:bCs w:val="0"/>
              </w:rPr>
              <w:t xml:space="preserve">) is misaligned and should </w:t>
            </w:r>
            <w:r w:rsidR="002169FF">
              <w:rPr>
                <w:b w:val="0"/>
                <w:bCs w:val="0"/>
              </w:rPr>
              <w:t xml:space="preserve">also </w:t>
            </w:r>
            <w:r w:rsidR="000E51E4">
              <w:rPr>
                <w:b w:val="0"/>
                <w:bCs w:val="0"/>
              </w:rPr>
              <w:t xml:space="preserve">have an indent removed. </w:t>
            </w:r>
            <w:r w:rsidR="000E51E4" w:rsidRPr="009601B2">
              <w:rPr>
                <w:b w:val="0"/>
                <w:bCs w:val="0"/>
              </w:rPr>
              <w:t xml:space="preserve">There is no issue with the </w:t>
            </w:r>
            <w:r w:rsidR="000E51E4">
              <w:rPr>
                <w:b w:val="0"/>
                <w:bCs w:val="0"/>
              </w:rPr>
              <w:t>W</w:t>
            </w:r>
            <w:r w:rsidR="000E51E4" w:rsidRPr="009601B2">
              <w:rPr>
                <w:b w:val="0"/>
                <w:bCs w:val="0"/>
              </w:rPr>
              <w:t>ord versio</w:t>
            </w:r>
            <w:r w:rsidR="000E51E4">
              <w:rPr>
                <w:b w:val="0"/>
                <w:bCs w:val="0"/>
              </w:rPr>
              <w:t>n of Schedule 3 of the Code published on the Register.</w:t>
            </w:r>
          </w:p>
          <w:p w14:paraId="31EAFAB8" w14:textId="77777777" w:rsidR="001D7706" w:rsidRDefault="001D7706" w:rsidP="008C4E76">
            <w:pPr>
              <w:pStyle w:val="FSTableText"/>
              <w:rPr>
                <w:b w:val="0"/>
                <w:bCs w:val="0"/>
              </w:rPr>
            </w:pPr>
          </w:p>
        </w:tc>
        <w:tc>
          <w:tcPr>
            <w:tcW w:w="3018" w:type="dxa"/>
            <w:tcBorders>
              <w:top w:val="single" w:sz="4" w:space="0" w:color="auto"/>
              <w:left w:val="single" w:sz="4" w:space="0" w:color="auto"/>
              <w:bottom w:val="single" w:sz="4" w:space="0" w:color="auto"/>
              <w:right w:val="single" w:sz="4" w:space="0" w:color="auto"/>
            </w:tcBorders>
          </w:tcPr>
          <w:p w14:paraId="70D32146" w14:textId="77777777" w:rsidR="000E51E4" w:rsidRDefault="000E51E4" w:rsidP="00B522F8">
            <w:pPr>
              <w:pStyle w:val="FSTableText"/>
              <w:jc w:val="center"/>
              <w:cnfStyle w:val="000000100000" w:firstRow="0" w:lastRow="0" w:firstColumn="0" w:lastColumn="0" w:oddVBand="0" w:evenVBand="0" w:oddHBand="1" w:evenHBand="0" w:firstRowFirstColumn="0" w:firstRowLastColumn="0" w:lastRowFirstColumn="0" w:lastRowLastColumn="0"/>
            </w:pPr>
          </w:p>
          <w:p w14:paraId="1EA1408F" w14:textId="56720FC0" w:rsidR="001D7706" w:rsidRDefault="00B522F8" w:rsidP="00FC4EC9">
            <w:pPr>
              <w:pStyle w:val="FSTableText"/>
              <w:cnfStyle w:val="000000100000" w:firstRow="0" w:lastRow="0" w:firstColumn="0" w:lastColumn="0" w:oddVBand="0" w:evenVBand="0" w:oddHBand="1" w:evenHBand="0" w:firstRowFirstColumn="0" w:firstRowLastColumn="0" w:lastRowFirstColumn="0" w:lastRowLastColumn="0"/>
            </w:pPr>
            <w:r>
              <w:t>MPI</w:t>
            </w:r>
          </w:p>
        </w:tc>
        <w:tc>
          <w:tcPr>
            <w:tcW w:w="3020" w:type="dxa"/>
            <w:tcBorders>
              <w:left w:val="single" w:sz="4" w:space="0" w:color="auto"/>
            </w:tcBorders>
          </w:tcPr>
          <w:p w14:paraId="5FE8E285" w14:textId="1E90265C" w:rsidR="00B522F8" w:rsidRDefault="00B522F8" w:rsidP="00B522F8">
            <w:pPr>
              <w:spacing w:after="60"/>
              <w:cnfStyle w:val="000000100000" w:firstRow="0" w:lastRow="0" w:firstColumn="0" w:lastColumn="0" w:oddVBand="0" w:evenVBand="0" w:oddHBand="1" w:evenHBand="0" w:firstRowFirstColumn="0" w:firstRowLastColumn="0" w:lastRowFirstColumn="0" w:lastRowLastColumn="0"/>
              <w:rPr>
                <w:b/>
                <w:bCs/>
                <w:sz w:val="20"/>
                <w:szCs w:val="20"/>
              </w:rPr>
            </w:pPr>
          </w:p>
          <w:p w14:paraId="0446E921" w14:textId="300C9FDD" w:rsidR="00B522F8" w:rsidRPr="00E068B0" w:rsidRDefault="000E51E4" w:rsidP="00B522F8">
            <w:pPr>
              <w:spacing w:after="60"/>
              <w:cnfStyle w:val="000000100000" w:firstRow="0" w:lastRow="0" w:firstColumn="0" w:lastColumn="0" w:oddVBand="0" w:evenVBand="0" w:oddHBand="1" w:evenHBand="0" w:firstRowFirstColumn="0" w:firstRowLastColumn="0" w:lastRowFirstColumn="0" w:lastRowLastColumn="0"/>
              <w:rPr>
                <w:bCs/>
                <w:sz w:val="20"/>
                <w:szCs w:val="20"/>
              </w:rPr>
            </w:pPr>
            <w:r w:rsidRPr="00E068B0">
              <w:rPr>
                <w:bCs/>
                <w:sz w:val="20"/>
                <w:szCs w:val="20"/>
              </w:rPr>
              <w:t>Noted.</w:t>
            </w:r>
            <w:r>
              <w:rPr>
                <w:bCs/>
                <w:sz w:val="20"/>
                <w:szCs w:val="20"/>
              </w:rPr>
              <w:t xml:space="preserve">  </w:t>
            </w:r>
            <w:r w:rsidR="002E05F9">
              <w:rPr>
                <w:bCs/>
                <w:sz w:val="20"/>
                <w:szCs w:val="20"/>
              </w:rPr>
              <w:t>T</w:t>
            </w:r>
            <w:r w:rsidR="00442520">
              <w:rPr>
                <w:sz w:val="20"/>
                <w:szCs w:val="20"/>
              </w:rPr>
              <w:t>he</w:t>
            </w:r>
            <w:r>
              <w:rPr>
                <w:sz w:val="20"/>
                <w:szCs w:val="20"/>
              </w:rPr>
              <w:t xml:space="preserve"> error</w:t>
            </w:r>
            <w:r w:rsidR="00B522F8">
              <w:rPr>
                <w:sz w:val="20"/>
                <w:szCs w:val="20"/>
              </w:rPr>
              <w:t xml:space="preserve"> </w:t>
            </w:r>
            <w:r>
              <w:rPr>
                <w:sz w:val="20"/>
                <w:szCs w:val="20"/>
              </w:rPr>
              <w:t xml:space="preserve">appears </w:t>
            </w:r>
            <w:r w:rsidR="002E05F9">
              <w:rPr>
                <w:sz w:val="20"/>
                <w:szCs w:val="20"/>
              </w:rPr>
              <w:t>i</w:t>
            </w:r>
            <w:r>
              <w:rPr>
                <w:sz w:val="20"/>
                <w:szCs w:val="20"/>
              </w:rPr>
              <w:t xml:space="preserve">n </w:t>
            </w:r>
            <w:r w:rsidR="00C03B0A">
              <w:rPr>
                <w:sz w:val="20"/>
                <w:szCs w:val="20"/>
              </w:rPr>
              <w:t>two</w:t>
            </w:r>
            <w:r>
              <w:rPr>
                <w:sz w:val="20"/>
                <w:szCs w:val="20"/>
              </w:rPr>
              <w:t xml:space="preserve"> </w:t>
            </w:r>
            <w:r w:rsidR="00442520">
              <w:rPr>
                <w:sz w:val="20"/>
                <w:szCs w:val="20"/>
              </w:rPr>
              <w:t xml:space="preserve">of the three </w:t>
            </w:r>
            <w:r w:rsidR="00B522F8">
              <w:rPr>
                <w:sz w:val="20"/>
                <w:szCs w:val="20"/>
              </w:rPr>
              <w:t>version</w:t>
            </w:r>
            <w:r w:rsidR="00442520">
              <w:rPr>
                <w:sz w:val="20"/>
                <w:szCs w:val="20"/>
              </w:rPr>
              <w:t>s</w:t>
            </w:r>
            <w:r>
              <w:rPr>
                <w:sz w:val="20"/>
                <w:szCs w:val="20"/>
              </w:rPr>
              <w:t xml:space="preserve"> </w:t>
            </w:r>
            <w:r w:rsidR="00EF57E1">
              <w:rPr>
                <w:sz w:val="20"/>
                <w:szCs w:val="20"/>
              </w:rPr>
              <w:t>(PDF</w:t>
            </w:r>
            <w:r w:rsidR="00C03B0A">
              <w:rPr>
                <w:sz w:val="20"/>
                <w:szCs w:val="20"/>
              </w:rPr>
              <w:t xml:space="preserve"> and HTML</w:t>
            </w:r>
            <w:r w:rsidR="00EF57E1">
              <w:rPr>
                <w:sz w:val="20"/>
                <w:szCs w:val="20"/>
              </w:rPr>
              <w:t xml:space="preserve">) </w:t>
            </w:r>
            <w:r w:rsidR="00B522F8">
              <w:rPr>
                <w:sz w:val="20"/>
                <w:szCs w:val="20"/>
              </w:rPr>
              <w:t xml:space="preserve">of </w:t>
            </w:r>
            <w:r w:rsidR="00442520">
              <w:rPr>
                <w:sz w:val="20"/>
                <w:szCs w:val="20"/>
              </w:rPr>
              <w:t xml:space="preserve">the </w:t>
            </w:r>
            <w:r w:rsidR="00B522F8">
              <w:rPr>
                <w:sz w:val="20"/>
                <w:szCs w:val="20"/>
              </w:rPr>
              <w:t>Schedule</w:t>
            </w:r>
            <w:r w:rsidR="00442520">
              <w:rPr>
                <w:sz w:val="20"/>
                <w:szCs w:val="20"/>
              </w:rPr>
              <w:t xml:space="preserve"> </w:t>
            </w:r>
            <w:r>
              <w:rPr>
                <w:sz w:val="20"/>
                <w:szCs w:val="20"/>
              </w:rPr>
              <w:t xml:space="preserve">published </w:t>
            </w:r>
            <w:r w:rsidR="00B522F8">
              <w:rPr>
                <w:sz w:val="20"/>
                <w:szCs w:val="20"/>
              </w:rPr>
              <w:t>in the Register</w:t>
            </w:r>
            <w:r w:rsidR="002E05F9">
              <w:rPr>
                <w:sz w:val="20"/>
                <w:szCs w:val="20"/>
              </w:rPr>
              <w:t>.</w:t>
            </w:r>
            <w:r w:rsidR="00442520">
              <w:rPr>
                <w:sz w:val="20"/>
                <w:szCs w:val="20"/>
              </w:rPr>
              <w:t xml:space="preserve"> </w:t>
            </w:r>
            <w:r w:rsidR="002E05F9">
              <w:rPr>
                <w:sz w:val="20"/>
                <w:szCs w:val="20"/>
              </w:rPr>
              <w:t xml:space="preserve">Consequently, </w:t>
            </w:r>
            <w:r w:rsidR="00B522F8">
              <w:rPr>
                <w:sz w:val="20"/>
                <w:szCs w:val="20"/>
              </w:rPr>
              <w:t xml:space="preserve">FSANZ will consult with the </w:t>
            </w:r>
            <w:r>
              <w:rPr>
                <w:sz w:val="20"/>
                <w:szCs w:val="20"/>
              </w:rPr>
              <w:t xml:space="preserve">Australian Government </w:t>
            </w:r>
            <w:r w:rsidR="00B522F8">
              <w:rPr>
                <w:sz w:val="20"/>
                <w:szCs w:val="20"/>
              </w:rPr>
              <w:t xml:space="preserve">Office of Parliamentary Counsel (OPC) in relation to </w:t>
            </w:r>
            <w:r w:rsidR="00442520">
              <w:rPr>
                <w:sz w:val="20"/>
                <w:szCs w:val="20"/>
              </w:rPr>
              <w:t xml:space="preserve">correction of </w:t>
            </w:r>
            <w:r w:rsidR="00B522F8">
              <w:rPr>
                <w:sz w:val="20"/>
                <w:szCs w:val="20"/>
              </w:rPr>
              <w:t>that error</w:t>
            </w:r>
            <w:r w:rsidR="00442520">
              <w:rPr>
                <w:sz w:val="20"/>
                <w:szCs w:val="20"/>
              </w:rPr>
              <w:t xml:space="preserve">. </w:t>
            </w:r>
            <w:r w:rsidR="00B522F8">
              <w:rPr>
                <w:sz w:val="20"/>
                <w:szCs w:val="20"/>
              </w:rPr>
              <w:t xml:space="preserve">OPC </w:t>
            </w:r>
            <w:r w:rsidR="00B522F8" w:rsidRPr="005C3174">
              <w:rPr>
                <w:sz w:val="20"/>
                <w:szCs w:val="20"/>
              </w:rPr>
              <w:t xml:space="preserve">manages the Register in accordance with the </w:t>
            </w:r>
            <w:r w:rsidR="00B522F8" w:rsidRPr="005C3174">
              <w:rPr>
                <w:i/>
                <w:iCs/>
                <w:sz w:val="20"/>
                <w:szCs w:val="20"/>
              </w:rPr>
              <w:t>Legislation Act 2003</w:t>
            </w:r>
            <w:r w:rsidR="00B522F8">
              <w:rPr>
                <w:sz w:val="20"/>
                <w:szCs w:val="20"/>
              </w:rPr>
              <w:t xml:space="preserve">. </w:t>
            </w:r>
          </w:p>
          <w:p w14:paraId="2B366E04" w14:textId="77777777" w:rsidR="001D7706" w:rsidRDefault="001D7706" w:rsidP="008C4E76">
            <w:pPr>
              <w:pStyle w:val="FSTableText"/>
              <w:cnfStyle w:val="000000100000" w:firstRow="0" w:lastRow="0" w:firstColumn="0" w:lastColumn="0" w:oddVBand="0" w:evenVBand="0" w:oddHBand="1" w:evenHBand="0" w:firstRowFirstColumn="0" w:firstRowLastColumn="0" w:lastRowFirstColumn="0" w:lastRowLastColumn="0"/>
            </w:pPr>
          </w:p>
        </w:tc>
      </w:tr>
      <w:tr w:rsidR="00B522F8" w14:paraId="2C3B6C57" w14:textId="77777777" w:rsidTr="00775BE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529D3500" w14:textId="77777777" w:rsidR="000E51E4" w:rsidRPr="001333C0" w:rsidRDefault="000E51E4" w:rsidP="000E51E4">
            <w:pPr>
              <w:widowControl/>
              <w:autoSpaceDE w:val="0"/>
              <w:autoSpaceDN w:val="0"/>
              <w:adjustRightInd w:val="0"/>
              <w:rPr>
                <w:rFonts w:cs="Arial"/>
                <w:b w:val="0"/>
                <w:bCs w:val="0"/>
                <w:color w:val="000000"/>
                <w:sz w:val="24"/>
                <w:lang w:val="en-AU" w:eastAsia="en-GB" w:bidi="ar-SA"/>
              </w:rPr>
            </w:pPr>
          </w:p>
          <w:p w14:paraId="3A61341F" w14:textId="4207ED65" w:rsidR="00B522F8" w:rsidRPr="001333C0" w:rsidRDefault="00442520" w:rsidP="00442520">
            <w:pPr>
              <w:pStyle w:val="FSTableText"/>
              <w:rPr>
                <w:b w:val="0"/>
                <w:bCs w:val="0"/>
                <w:color w:val="000000"/>
                <w:lang w:val="en-AU" w:eastAsia="en-GB" w:bidi="ar-SA"/>
              </w:rPr>
            </w:pPr>
            <w:r w:rsidRPr="001333C0">
              <w:rPr>
                <w:b w:val="0"/>
                <w:bCs w:val="0"/>
                <w:color w:val="000000"/>
                <w:lang w:val="en-AU" w:eastAsia="en-GB" w:bidi="ar-SA"/>
              </w:rPr>
              <w:t xml:space="preserve">Identification of </w:t>
            </w:r>
            <w:r w:rsidR="00EF57E1" w:rsidRPr="001333C0">
              <w:rPr>
                <w:b w:val="0"/>
                <w:bCs w:val="0"/>
                <w:color w:val="000000"/>
                <w:lang w:val="en-AU" w:eastAsia="en-GB" w:bidi="ar-SA"/>
              </w:rPr>
              <w:t>three</w:t>
            </w:r>
            <w:r w:rsidRPr="001333C0">
              <w:rPr>
                <w:b w:val="0"/>
                <w:bCs w:val="0"/>
                <w:color w:val="000000"/>
                <w:lang w:val="en-AU" w:eastAsia="en-GB" w:bidi="ar-SA"/>
              </w:rPr>
              <w:t xml:space="preserve"> other typographical and formatting errors in the Code </w:t>
            </w:r>
            <w:r w:rsidR="002169FF" w:rsidRPr="001333C0">
              <w:rPr>
                <w:b w:val="0"/>
                <w:bCs w:val="0"/>
                <w:color w:val="000000"/>
                <w:lang w:val="en-AU" w:eastAsia="en-GB" w:bidi="ar-SA"/>
              </w:rPr>
              <w:t>‘</w:t>
            </w:r>
            <w:r w:rsidRPr="001333C0">
              <w:rPr>
                <w:b w:val="0"/>
                <w:bCs w:val="0"/>
                <w:color w:val="000000"/>
                <w:lang w:val="en-AU" w:eastAsia="en-GB" w:bidi="ar-SA"/>
              </w:rPr>
              <w:t xml:space="preserve">which are relatively minor in nature and may be addressed in </w:t>
            </w:r>
            <w:r w:rsidR="000E51E4" w:rsidRPr="001333C0">
              <w:rPr>
                <w:b w:val="0"/>
                <w:bCs w:val="0"/>
                <w:color w:val="000000"/>
                <w:lang w:val="en-AU" w:eastAsia="en-GB" w:bidi="ar-SA"/>
              </w:rPr>
              <w:t>a future Code Maintenance proposal</w:t>
            </w:r>
            <w:r w:rsidR="002169FF" w:rsidRPr="001333C0">
              <w:rPr>
                <w:b w:val="0"/>
                <w:bCs w:val="0"/>
                <w:color w:val="000000"/>
                <w:lang w:val="en-AU" w:eastAsia="en-GB" w:bidi="ar-SA"/>
              </w:rPr>
              <w:t>’</w:t>
            </w:r>
            <w:r w:rsidRPr="001333C0">
              <w:rPr>
                <w:b w:val="0"/>
                <w:bCs w:val="0"/>
                <w:color w:val="000000"/>
                <w:lang w:val="en-AU" w:eastAsia="en-GB" w:bidi="ar-SA"/>
              </w:rPr>
              <w:t>.</w:t>
            </w:r>
          </w:p>
          <w:p w14:paraId="1EC1ECE0" w14:textId="2A55D88C" w:rsidR="00EF57E1" w:rsidRPr="001333C0" w:rsidRDefault="00EF57E1" w:rsidP="00442520">
            <w:pPr>
              <w:pStyle w:val="FSTableText"/>
              <w:rPr>
                <w:b w:val="0"/>
                <w:bCs w:val="0"/>
              </w:rPr>
            </w:pPr>
          </w:p>
        </w:tc>
        <w:tc>
          <w:tcPr>
            <w:tcW w:w="0" w:type="dxa"/>
            <w:tcBorders>
              <w:top w:val="single" w:sz="4" w:space="0" w:color="auto"/>
              <w:left w:val="single" w:sz="4" w:space="0" w:color="auto"/>
              <w:bottom w:val="single" w:sz="4" w:space="0" w:color="auto"/>
              <w:right w:val="single" w:sz="4" w:space="0" w:color="auto"/>
            </w:tcBorders>
            <w:shd w:val="clear" w:color="auto" w:fill="auto"/>
          </w:tcPr>
          <w:p w14:paraId="50EFF147" w14:textId="77777777" w:rsidR="00442520" w:rsidRDefault="00442520" w:rsidP="00B522F8">
            <w:pPr>
              <w:pStyle w:val="FSTableText"/>
              <w:jc w:val="center"/>
              <w:cnfStyle w:val="000000010000" w:firstRow="0" w:lastRow="0" w:firstColumn="0" w:lastColumn="0" w:oddVBand="0" w:evenVBand="0" w:oddHBand="0" w:evenHBand="1" w:firstRowFirstColumn="0" w:firstRowLastColumn="0" w:lastRowFirstColumn="0" w:lastRowLastColumn="0"/>
            </w:pPr>
          </w:p>
          <w:p w14:paraId="10A908DF" w14:textId="75BC3952" w:rsidR="00B522F8" w:rsidRDefault="00B522F8" w:rsidP="00FC4EC9">
            <w:pPr>
              <w:pStyle w:val="FSTableText"/>
              <w:cnfStyle w:val="000000010000" w:firstRow="0" w:lastRow="0" w:firstColumn="0" w:lastColumn="0" w:oddVBand="0" w:evenVBand="0" w:oddHBand="0" w:evenHBand="1" w:firstRowFirstColumn="0" w:firstRowLastColumn="0" w:lastRowFirstColumn="0" w:lastRowLastColumn="0"/>
            </w:pPr>
            <w:r>
              <w:t>MPI</w:t>
            </w:r>
          </w:p>
        </w:tc>
        <w:tc>
          <w:tcPr>
            <w:tcW w:w="0" w:type="dxa"/>
            <w:tcBorders>
              <w:left w:val="single" w:sz="4" w:space="0" w:color="auto"/>
            </w:tcBorders>
            <w:shd w:val="clear" w:color="auto" w:fill="auto"/>
          </w:tcPr>
          <w:p w14:paraId="65155A8D" w14:textId="77777777" w:rsidR="00442520" w:rsidRDefault="00442520" w:rsidP="00B522F8">
            <w:pPr>
              <w:pStyle w:val="FSTableText"/>
              <w:cnfStyle w:val="000000010000" w:firstRow="0" w:lastRow="0" w:firstColumn="0" w:lastColumn="0" w:oddVBand="0" w:evenVBand="0" w:oddHBand="0" w:evenHBand="1" w:firstRowFirstColumn="0" w:firstRowLastColumn="0" w:lastRowFirstColumn="0" w:lastRowLastColumn="0"/>
              <w:rPr>
                <w:highlight w:val="yellow"/>
              </w:rPr>
            </w:pPr>
          </w:p>
          <w:p w14:paraId="55A18FC2" w14:textId="2FAE2C86" w:rsidR="00B522F8" w:rsidRDefault="00442520" w:rsidP="00B522F8">
            <w:pPr>
              <w:pStyle w:val="FSTableText"/>
              <w:cnfStyle w:val="000000010000" w:firstRow="0" w:lastRow="0" w:firstColumn="0" w:lastColumn="0" w:oddVBand="0" w:evenVBand="0" w:oddHBand="0" w:evenHBand="1" w:firstRowFirstColumn="0" w:firstRowLastColumn="0" w:lastRowFirstColumn="0" w:lastRowLastColumn="0"/>
            </w:pPr>
            <w:r w:rsidRPr="00775BE1">
              <w:t xml:space="preserve">Noted. </w:t>
            </w:r>
            <w:r>
              <w:t>FSANZ will address these in</w:t>
            </w:r>
            <w:r w:rsidR="00B522F8">
              <w:t xml:space="preserve"> the next Code Maintenance Proposal.</w:t>
            </w:r>
          </w:p>
          <w:p w14:paraId="3FC60F08" w14:textId="3BA92F19" w:rsidR="00B522F8" w:rsidRDefault="00EF57E1" w:rsidP="008C4E76">
            <w:pPr>
              <w:pStyle w:val="FSTableText"/>
              <w:cnfStyle w:val="000000010000" w:firstRow="0" w:lastRow="0" w:firstColumn="0" w:lastColumn="0" w:oddVBand="0" w:evenVBand="0" w:oddHBand="0" w:evenHBand="1" w:firstRowFirstColumn="0" w:firstRowLastColumn="0" w:lastRowFirstColumn="0" w:lastRowLastColumn="0"/>
            </w:pPr>
            <w:r>
              <w:t xml:space="preserve"> </w:t>
            </w:r>
          </w:p>
        </w:tc>
      </w:tr>
      <w:tr w:rsidR="00442520" w:rsidRPr="001333C0" w14:paraId="3A644CD8" w14:textId="77777777" w:rsidTr="00775B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6E3BC" w:themeFill="accent3" w:themeFillTint="66"/>
          </w:tcPr>
          <w:p w14:paraId="2C047780" w14:textId="77777777" w:rsidR="00442520" w:rsidRPr="001333C0" w:rsidRDefault="00442520" w:rsidP="00442520">
            <w:pPr>
              <w:pStyle w:val="FSTableText"/>
              <w:rPr>
                <w:b w:val="0"/>
                <w:bCs w:val="0"/>
              </w:rPr>
            </w:pPr>
          </w:p>
          <w:p w14:paraId="40552DA2" w14:textId="5204A278" w:rsidR="00442520" w:rsidRPr="001333C0" w:rsidRDefault="002169FF" w:rsidP="00442520">
            <w:pPr>
              <w:widowControl/>
              <w:autoSpaceDE w:val="0"/>
              <w:autoSpaceDN w:val="0"/>
              <w:adjustRightInd w:val="0"/>
              <w:rPr>
                <w:rFonts w:cs="Arial"/>
                <w:b w:val="0"/>
                <w:bCs w:val="0"/>
                <w:color w:val="000000"/>
                <w:sz w:val="20"/>
                <w:szCs w:val="20"/>
                <w:lang w:val="en-AU" w:eastAsia="en-GB" w:bidi="ar-SA"/>
              </w:rPr>
            </w:pPr>
            <w:r w:rsidRPr="001333C0">
              <w:rPr>
                <w:b w:val="0"/>
                <w:bCs w:val="0"/>
                <w:color w:val="000000"/>
                <w:sz w:val="20"/>
                <w:szCs w:val="20"/>
                <w:lang w:val="en-AU" w:eastAsia="en-GB" w:bidi="ar-SA"/>
              </w:rPr>
              <w:t>Identification of a</w:t>
            </w:r>
            <w:r w:rsidR="00442520" w:rsidRPr="001333C0">
              <w:rPr>
                <w:b w:val="0"/>
                <w:bCs w:val="0"/>
                <w:sz w:val="20"/>
                <w:szCs w:val="20"/>
              </w:rPr>
              <w:t xml:space="preserve"> section numbering error in Standard 4.2.8 of the Code. </w:t>
            </w:r>
          </w:p>
        </w:tc>
        <w:tc>
          <w:tcPr>
            <w:tcW w:w="0" w:type="dxa"/>
            <w:tcBorders>
              <w:top w:val="single" w:sz="4" w:space="0" w:color="auto"/>
              <w:left w:val="single" w:sz="4" w:space="0" w:color="auto"/>
              <w:right w:val="single" w:sz="4" w:space="0" w:color="auto"/>
            </w:tcBorders>
            <w:shd w:val="clear" w:color="auto" w:fill="D6E3BC" w:themeFill="accent3" w:themeFillTint="66"/>
          </w:tcPr>
          <w:p w14:paraId="5738A118" w14:textId="77777777" w:rsidR="00442520" w:rsidRPr="001333C0" w:rsidRDefault="00442520" w:rsidP="00442520">
            <w:pPr>
              <w:pStyle w:val="FSTableText"/>
              <w:cnfStyle w:val="000000100000" w:firstRow="0" w:lastRow="0" w:firstColumn="0" w:lastColumn="0" w:oddVBand="0" w:evenVBand="0" w:oddHBand="1" w:evenHBand="0" w:firstRowFirstColumn="0" w:firstRowLastColumn="0" w:lastRowFirstColumn="0" w:lastRowLastColumn="0"/>
            </w:pPr>
          </w:p>
          <w:p w14:paraId="3288EAC3" w14:textId="77777777" w:rsidR="00442520" w:rsidRPr="001333C0" w:rsidRDefault="00442520" w:rsidP="00442520">
            <w:pPr>
              <w:pStyle w:val="FSTableText"/>
              <w:cnfStyle w:val="000000100000" w:firstRow="0" w:lastRow="0" w:firstColumn="0" w:lastColumn="0" w:oddVBand="0" w:evenVBand="0" w:oddHBand="1" w:evenHBand="0" w:firstRowFirstColumn="0" w:firstRowLastColumn="0" w:lastRowFirstColumn="0" w:lastRowLastColumn="0"/>
            </w:pPr>
            <w:r w:rsidRPr="001333C0">
              <w:t>Victorian Department of Health and the Victorian</w:t>
            </w:r>
          </w:p>
          <w:p w14:paraId="49A31AE6" w14:textId="77777777" w:rsidR="00442520" w:rsidRPr="001333C0" w:rsidRDefault="00442520" w:rsidP="00442520">
            <w:pPr>
              <w:pStyle w:val="FSTableText"/>
              <w:cnfStyle w:val="000000100000" w:firstRow="0" w:lastRow="0" w:firstColumn="0" w:lastColumn="0" w:oddVBand="0" w:evenVBand="0" w:oddHBand="1" w:evenHBand="0" w:firstRowFirstColumn="0" w:firstRowLastColumn="0" w:lastRowFirstColumn="0" w:lastRowLastColumn="0"/>
            </w:pPr>
            <w:r w:rsidRPr="001333C0">
              <w:t>Department of Energy, Environment and Climate Action</w:t>
            </w:r>
          </w:p>
          <w:p w14:paraId="1EC474E6" w14:textId="77777777" w:rsidR="00442520" w:rsidRPr="001333C0" w:rsidRDefault="00442520" w:rsidP="00442520">
            <w:pPr>
              <w:pStyle w:val="FSTableText"/>
              <w:jc w:val="center"/>
              <w:cnfStyle w:val="000000100000" w:firstRow="0" w:lastRow="0" w:firstColumn="0" w:lastColumn="0" w:oddVBand="0" w:evenVBand="0" w:oddHBand="1" w:evenHBand="0" w:firstRowFirstColumn="0" w:firstRowLastColumn="0" w:lastRowFirstColumn="0" w:lastRowLastColumn="0"/>
            </w:pPr>
          </w:p>
        </w:tc>
        <w:tc>
          <w:tcPr>
            <w:tcW w:w="0" w:type="dxa"/>
            <w:tcBorders>
              <w:left w:val="single" w:sz="4" w:space="0" w:color="auto"/>
            </w:tcBorders>
            <w:shd w:val="clear" w:color="auto" w:fill="D6E3BC" w:themeFill="accent3" w:themeFillTint="66"/>
          </w:tcPr>
          <w:p w14:paraId="114BBE27" w14:textId="77777777" w:rsidR="00442520" w:rsidRPr="001333C0" w:rsidRDefault="00442520" w:rsidP="00442520">
            <w:pPr>
              <w:pStyle w:val="FSTableText"/>
              <w:cnfStyle w:val="000000100000" w:firstRow="0" w:lastRow="0" w:firstColumn="0" w:lastColumn="0" w:oddVBand="0" w:evenVBand="0" w:oddHBand="1" w:evenHBand="0" w:firstRowFirstColumn="0" w:firstRowLastColumn="0" w:lastRowFirstColumn="0" w:lastRowLastColumn="0"/>
            </w:pPr>
          </w:p>
          <w:p w14:paraId="21CA946B" w14:textId="32FBA7EB" w:rsidR="00442520" w:rsidRPr="001333C0" w:rsidRDefault="00442520" w:rsidP="00442520">
            <w:pPr>
              <w:pStyle w:val="FSTableText"/>
              <w:cnfStyle w:val="000000100000" w:firstRow="0" w:lastRow="0" w:firstColumn="0" w:lastColumn="0" w:oddVBand="0" w:evenVBand="0" w:oddHBand="1" w:evenHBand="0" w:firstRowFirstColumn="0" w:firstRowLastColumn="0" w:lastRowFirstColumn="0" w:lastRowLastColumn="0"/>
            </w:pPr>
            <w:r w:rsidRPr="001333C0">
              <w:t xml:space="preserve">Noted. This error was addressed in the draft variation; and </w:t>
            </w:r>
            <w:r w:rsidR="00AE5623" w:rsidRPr="001333C0">
              <w:t>is corrected in</w:t>
            </w:r>
            <w:r w:rsidRPr="001333C0">
              <w:t xml:space="preserve"> the approved draft variation (see item [15]).</w:t>
            </w:r>
          </w:p>
          <w:p w14:paraId="73AC93D3" w14:textId="77777777" w:rsidR="00442520" w:rsidRPr="001333C0" w:rsidRDefault="00442520" w:rsidP="00442520">
            <w:pPr>
              <w:pStyle w:val="FSTableText"/>
              <w:cnfStyle w:val="000000100000" w:firstRow="0" w:lastRow="0" w:firstColumn="0" w:lastColumn="0" w:oddVBand="0" w:evenVBand="0" w:oddHBand="1" w:evenHBand="0" w:firstRowFirstColumn="0" w:firstRowLastColumn="0" w:lastRowFirstColumn="0" w:lastRowLastColumn="0"/>
            </w:pPr>
          </w:p>
          <w:p w14:paraId="71C5553F" w14:textId="77777777" w:rsidR="00442520" w:rsidRPr="001333C0" w:rsidRDefault="00442520" w:rsidP="00442520">
            <w:pPr>
              <w:pStyle w:val="FSTableText"/>
              <w:cnfStyle w:val="000000100000" w:firstRow="0" w:lastRow="0" w:firstColumn="0" w:lastColumn="0" w:oddVBand="0" w:evenVBand="0" w:oddHBand="1" w:evenHBand="0" w:firstRowFirstColumn="0" w:firstRowLastColumn="0" w:lastRowFirstColumn="0" w:lastRowLastColumn="0"/>
              <w:rPr>
                <w:highlight w:val="yellow"/>
              </w:rPr>
            </w:pPr>
          </w:p>
        </w:tc>
      </w:tr>
    </w:tbl>
    <w:p w14:paraId="49DC2143" w14:textId="77777777" w:rsidR="007A53BF" w:rsidRDefault="007A53BF" w:rsidP="007A53BF">
      <w:pPr>
        <w:rPr>
          <w:color w:val="00B050"/>
        </w:rPr>
      </w:pPr>
    </w:p>
    <w:p w14:paraId="7B861B53" w14:textId="77777777" w:rsidR="002C1A3B" w:rsidRPr="00932F14" w:rsidRDefault="002C1A3B" w:rsidP="002C1A3B">
      <w:pPr>
        <w:pStyle w:val="Heading2"/>
      </w:pPr>
      <w:bookmarkStart w:id="50" w:name="_Toc370223472"/>
      <w:bookmarkStart w:id="51" w:name="_Toc370225387"/>
      <w:bookmarkStart w:id="52" w:name="_Toc134451277"/>
      <w:bookmarkStart w:id="53" w:name="_Toc309291812"/>
      <w:bookmarkStart w:id="54" w:name="_Toc175381442"/>
      <w:bookmarkEnd w:id="44"/>
      <w:bookmarkEnd w:id="45"/>
      <w:bookmarkEnd w:id="46"/>
      <w:bookmarkEnd w:id="47"/>
      <w:bookmarkEnd w:id="48"/>
      <w:bookmarkEnd w:id="49"/>
      <w:r>
        <w:t>2.2</w:t>
      </w:r>
      <w:r>
        <w:tab/>
      </w:r>
      <w:r w:rsidRPr="00932F14">
        <w:t xml:space="preserve">Risk </w:t>
      </w:r>
      <w:r>
        <w:t>a</w:t>
      </w:r>
      <w:r w:rsidRPr="00932F14">
        <w:t>ssessment</w:t>
      </w:r>
      <w:bookmarkEnd w:id="50"/>
      <w:bookmarkEnd w:id="51"/>
      <w:bookmarkEnd w:id="52"/>
      <w:r w:rsidRPr="00932F14">
        <w:t xml:space="preserve"> </w:t>
      </w:r>
    </w:p>
    <w:p w14:paraId="2D71A5B6" w14:textId="6250A63A" w:rsidR="00840EF9" w:rsidRDefault="005F4D73" w:rsidP="00B9643D">
      <w:bookmarkStart w:id="55" w:name="_Toc370223473"/>
      <w:bookmarkStart w:id="56" w:name="_Toc370225388"/>
      <w:bookmarkStart w:id="57" w:name="_Toc175381450"/>
      <w:bookmarkEnd w:id="53"/>
      <w:bookmarkEnd w:id="54"/>
      <w:r>
        <w:t>A</w:t>
      </w:r>
      <w:r w:rsidR="00840EF9" w:rsidRPr="0017798B">
        <w:t>ll of the issues considered are relatively minor in nature</w:t>
      </w:r>
      <w:r>
        <w:t xml:space="preserve"> and the</w:t>
      </w:r>
      <w:r w:rsidR="00B9643D">
        <w:t xml:space="preserve"> amendments fall into the following broad categories:</w:t>
      </w:r>
    </w:p>
    <w:p w14:paraId="7BFF177C" w14:textId="43D6AF2D" w:rsidR="00B9643D" w:rsidRDefault="00B9643D" w:rsidP="00B9643D"/>
    <w:p w14:paraId="6F44F0E9" w14:textId="4BBA4892" w:rsidR="00DA4B9E" w:rsidRPr="00521377" w:rsidRDefault="00DA4B9E" w:rsidP="00DA4B9E">
      <w:pPr>
        <w:rPr>
          <w:b/>
          <w:bCs/>
        </w:rPr>
      </w:pPr>
      <w:r w:rsidRPr="00521377">
        <w:rPr>
          <w:b/>
          <w:bCs/>
        </w:rPr>
        <w:t>Reflecting the New Zealand decision re-mandatory fortification of folic acid</w:t>
      </w:r>
    </w:p>
    <w:p w14:paraId="42DB1C32" w14:textId="77777777" w:rsidR="00DA4B9E" w:rsidRDefault="00DA4B9E" w:rsidP="00DA4B9E"/>
    <w:p w14:paraId="6AD58640" w14:textId="2EA04331" w:rsidR="00DA4B9E" w:rsidRDefault="00DA4B9E" w:rsidP="00DA4B9E">
      <w:r>
        <w:t>Items [1], [5], and [6] of the</w:t>
      </w:r>
      <w:r w:rsidR="008D1076">
        <w:t xml:space="preserve"> approved</w:t>
      </w:r>
      <w:r>
        <w:t xml:space="preserve"> draft variation include amendments </w:t>
      </w:r>
      <w:r w:rsidR="00AE5623" w:rsidRPr="002169FF">
        <w:rPr>
          <w:rFonts w:cs="Arial"/>
          <w:szCs w:val="22"/>
        </w:rPr>
        <w:t>to reflect the New Zealand Government’s decision to adopt in New Zealand the Code's provisions relating to folic acid fortification. These require the addition of folic acid to wheat flour sold as suitable for making bread to which section 2.1.1—5</w:t>
      </w:r>
      <w:r w:rsidR="00AE5623" w:rsidRPr="002169FF">
        <w:rPr>
          <w:rFonts w:cs="Arial"/>
          <w:color w:val="0D4A88"/>
          <w:szCs w:val="22"/>
        </w:rPr>
        <w:t> </w:t>
      </w:r>
      <w:r w:rsidR="00AE5623" w:rsidRPr="002169FF">
        <w:rPr>
          <w:rFonts w:cs="Arial"/>
          <w:szCs w:val="22"/>
        </w:rPr>
        <w:t>of the Code applies</w:t>
      </w:r>
      <w:r w:rsidRPr="00BA033D">
        <w:t>.</w:t>
      </w:r>
      <w:r w:rsidR="00381550" w:rsidRPr="00BA033D">
        <w:rPr>
          <w:rStyle w:val="FootnoteReference"/>
        </w:rPr>
        <w:footnoteReference w:id="5"/>
      </w:r>
      <w:r w:rsidRPr="00BA033D">
        <w:t xml:space="preserve"> I</w:t>
      </w:r>
      <w:r>
        <w:t>n order to reflect this change</w:t>
      </w:r>
      <w:r w:rsidR="00AE5623">
        <w:t xml:space="preserve"> in New Zealand food law</w:t>
      </w:r>
      <w:r>
        <w:t xml:space="preserve">, amendment of Note 1 to section 1.1.1—3 of the Code and removal of the Note to section 2.1.1—5 of the Code are required. A new Note </w:t>
      </w:r>
      <w:r w:rsidR="008A703A">
        <w:t>is</w:t>
      </w:r>
      <w:r>
        <w:t xml:space="preserve"> also added at the end of paragraph 2.1.1—5(b). This paragraph contains the requirement related to </w:t>
      </w:r>
      <w:proofErr w:type="spellStart"/>
      <w:r>
        <w:lastRenderedPageBreak/>
        <w:t>thiamin</w:t>
      </w:r>
      <w:proofErr w:type="spellEnd"/>
      <w:r>
        <w:t xml:space="preserve"> and the new Note clarif</w:t>
      </w:r>
      <w:r w:rsidR="00BA08D5">
        <w:t>ies</w:t>
      </w:r>
      <w:r>
        <w:t xml:space="preserve"> </w:t>
      </w:r>
      <w:r w:rsidRPr="00E036E2">
        <w:t xml:space="preserve">that </w:t>
      </w:r>
      <w:r w:rsidRPr="00546BC6">
        <w:t>th</w:t>
      </w:r>
      <w:r>
        <w:t>is</w:t>
      </w:r>
      <w:r w:rsidRPr="00546BC6">
        <w:t xml:space="preserve"> requirement </w:t>
      </w:r>
      <w:r w:rsidR="00817E40">
        <w:t>appl</w:t>
      </w:r>
      <w:r w:rsidR="003F1589">
        <w:t>ies</w:t>
      </w:r>
      <w:r w:rsidRPr="00546BC6">
        <w:t xml:space="preserve"> </w:t>
      </w:r>
      <w:r w:rsidR="00285F18">
        <w:t xml:space="preserve">in </w:t>
      </w:r>
      <w:r w:rsidRPr="00E036E2">
        <w:t>Australia only.</w:t>
      </w:r>
    </w:p>
    <w:p w14:paraId="1C8C2828" w14:textId="77777777" w:rsidR="00DA4B9E" w:rsidRDefault="00DA4B9E" w:rsidP="00DA4B9E"/>
    <w:p w14:paraId="47ED5761" w14:textId="42DD2C4D" w:rsidR="00DA4B9E" w:rsidRPr="00521377" w:rsidRDefault="00DA4B9E" w:rsidP="00DA4B9E">
      <w:pPr>
        <w:rPr>
          <w:b/>
          <w:bCs/>
        </w:rPr>
      </w:pPr>
      <w:r w:rsidRPr="00521377">
        <w:rPr>
          <w:b/>
          <w:bCs/>
        </w:rPr>
        <w:t>Correcting typographical errors, omissions, inconsistencies and formatting</w:t>
      </w:r>
    </w:p>
    <w:p w14:paraId="773DFDB3" w14:textId="77777777" w:rsidR="00DA4B9E" w:rsidRDefault="00DA4B9E" w:rsidP="00DA4B9E"/>
    <w:p w14:paraId="203AB796" w14:textId="44C08D89" w:rsidR="00DA4B9E" w:rsidRDefault="00DA4B9E" w:rsidP="00DA4B9E">
      <w:r>
        <w:t xml:space="preserve">Items [4], [8], [9], [11], [15], and [19] – [58] of the </w:t>
      </w:r>
      <w:r w:rsidR="008D1076">
        <w:t xml:space="preserve">approved </w:t>
      </w:r>
      <w:r>
        <w:t>draft variation include amendments to correct typographical errors, omissions, and formatting issues; and to improve consistency across the Code.</w:t>
      </w:r>
    </w:p>
    <w:p w14:paraId="07A1BD34" w14:textId="77777777" w:rsidR="00DA4B9E" w:rsidRDefault="00DA4B9E" w:rsidP="00DA4B9E"/>
    <w:p w14:paraId="62E420D9" w14:textId="39F96CDA" w:rsidR="00DA4B9E" w:rsidRPr="00521377" w:rsidRDefault="00DA4B9E" w:rsidP="00DA4B9E">
      <w:pPr>
        <w:widowControl/>
        <w:autoSpaceDE w:val="0"/>
        <w:autoSpaceDN w:val="0"/>
        <w:adjustRightInd w:val="0"/>
        <w:rPr>
          <w:rFonts w:cs="Arial"/>
          <w:color w:val="000000"/>
          <w:szCs w:val="22"/>
          <w:lang w:val="en-AU" w:eastAsia="en-GB" w:bidi="ar-SA"/>
        </w:rPr>
      </w:pPr>
      <w:r w:rsidRPr="00521377">
        <w:rPr>
          <w:rFonts w:cs="Arial"/>
          <w:b/>
          <w:bCs/>
          <w:color w:val="000000"/>
          <w:szCs w:val="22"/>
          <w:lang w:val="en-AU" w:eastAsia="en-GB" w:bidi="ar-SA"/>
        </w:rPr>
        <w:t xml:space="preserve">Removing outdated clause </w:t>
      </w:r>
    </w:p>
    <w:p w14:paraId="64CCFE12" w14:textId="77777777" w:rsidR="00DA4B9E" w:rsidRDefault="00DA4B9E" w:rsidP="00DA4B9E">
      <w:pPr>
        <w:rPr>
          <w:rFonts w:cs="Arial"/>
          <w:color w:val="000000"/>
          <w:szCs w:val="22"/>
          <w:lang w:val="en-AU" w:eastAsia="en-GB" w:bidi="ar-SA"/>
        </w:rPr>
      </w:pPr>
    </w:p>
    <w:p w14:paraId="273BDF31" w14:textId="12E4604F" w:rsidR="00DA4B9E" w:rsidRDefault="00DA4B9E" w:rsidP="00DA4B9E">
      <w:pPr>
        <w:rPr>
          <w:rFonts w:cs="Arial"/>
          <w:color w:val="000000"/>
          <w:szCs w:val="22"/>
          <w:lang w:val="en-AU" w:eastAsia="en-GB" w:bidi="ar-SA"/>
        </w:rPr>
      </w:pPr>
      <w:r w:rsidRPr="00C063C5">
        <w:rPr>
          <w:rFonts w:cs="Arial"/>
          <w:color w:val="000000"/>
          <w:szCs w:val="22"/>
          <w:lang w:val="en-AU" w:eastAsia="en-GB" w:bidi="ar-SA"/>
        </w:rPr>
        <w:t xml:space="preserve">Item [10] of the </w:t>
      </w:r>
      <w:r w:rsidR="008D1076">
        <w:rPr>
          <w:rFonts w:cs="Arial"/>
          <w:color w:val="000000"/>
          <w:szCs w:val="22"/>
          <w:lang w:val="en-AU" w:eastAsia="en-GB" w:bidi="ar-SA"/>
        </w:rPr>
        <w:t xml:space="preserve">approved </w:t>
      </w:r>
      <w:r w:rsidRPr="00C063C5">
        <w:rPr>
          <w:rFonts w:cs="Arial"/>
          <w:color w:val="000000"/>
          <w:szCs w:val="22"/>
          <w:lang w:val="en-AU" w:eastAsia="en-GB" w:bidi="ar-SA"/>
        </w:rPr>
        <w:t>draft variation includes an amendment to remove an outdated clause, which only applied to food businesses that existed at the time of the commencement of the clause. Due to the passage of time, the clause is no longer operative.</w:t>
      </w:r>
    </w:p>
    <w:p w14:paraId="3EEE2ECC" w14:textId="77777777" w:rsidR="00DA4B9E" w:rsidRDefault="00DA4B9E" w:rsidP="00DA4B9E">
      <w:pPr>
        <w:rPr>
          <w:rFonts w:cs="Arial"/>
          <w:color w:val="000000"/>
          <w:szCs w:val="22"/>
          <w:lang w:val="en-AU" w:eastAsia="en-GB" w:bidi="ar-SA"/>
        </w:rPr>
      </w:pPr>
    </w:p>
    <w:p w14:paraId="52861356" w14:textId="686D65CB" w:rsidR="00DA4B9E" w:rsidRPr="00521377" w:rsidRDefault="00DA4B9E" w:rsidP="00DA4B9E">
      <w:pPr>
        <w:widowControl/>
        <w:autoSpaceDE w:val="0"/>
        <w:autoSpaceDN w:val="0"/>
        <w:adjustRightInd w:val="0"/>
        <w:rPr>
          <w:rFonts w:cs="Arial"/>
          <w:b/>
          <w:bCs/>
          <w:color w:val="000000"/>
          <w:szCs w:val="22"/>
          <w:lang w:val="en-AU" w:eastAsia="en-GB" w:bidi="ar-SA"/>
        </w:rPr>
      </w:pPr>
      <w:r w:rsidRPr="00521377">
        <w:rPr>
          <w:rFonts w:cs="Arial"/>
          <w:b/>
          <w:bCs/>
          <w:color w:val="000000"/>
          <w:szCs w:val="22"/>
          <w:lang w:val="en-AU" w:eastAsia="en-GB" w:bidi="ar-SA"/>
        </w:rPr>
        <w:t xml:space="preserve">Updating references </w:t>
      </w:r>
    </w:p>
    <w:p w14:paraId="7CA0B22A" w14:textId="77777777" w:rsidR="00DA4B9E" w:rsidRPr="00680B99" w:rsidRDefault="00DA4B9E" w:rsidP="00DA4B9E">
      <w:pPr>
        <w:widowControl/>
        <w:autoSpaceDE w:val="0"/>
        <w:autoSpaceDN w:val="0"/>
        <w:adjustRightInd w:val="0"/>
        <w:rPr>
          <w:rFonts w:cs="Arial"/>
          <w:color w:val="000000"/>
          <w:szCs w:val="22"/>
          <w:lang w:val="en-AU" w:eastAsia="en-GB" w:bidi="ar-SA"/>
        </w:rPr>
      </w:pPr>
    </w:p>
    <w:p w14:paraId="3BDFF2FD" w14:textId="0325B623" w:rsidR="00DA4B9E" w:rsidRDefault="00DA4B9E" w:rsidP="00DA4B9E">
      <w:pPr>
        <w:rPr>
          <w:lang w:val="en-AU" w:eastAsia="en-GB" w:bidi="ar-SA"/>
        </w:rPr>
      </w:pPr>
      <w:r w:rsidRPr="00680B99">
        <w:rPr>
          <w:rFonts w:cs="Arial"/>
          <w:color w:val="000000"/>
          <w:szCs w:val="22"/>
          <w:lang w:val="en-AU" w:eastAsia="en-GB" w:bidi="ar-SA"/>
        </w:rPr>
        <w:t xml:space="preserve">Items [2], [3], [7], [12] - [14], and [16] – [18] of the </w:t>
      </w:r>
      <w:r w:rsidR="008D1076">
        <w:rPr>
          <w:rFonts w:cs="Arial"/>
          <w:color w:val="000000"/>
          <w:szCs w:val="22"/>
          <w:lang w:val="en-AU" w:eastAsia="en-GB" w:bidi="ar-SA"/>
        </w:rPr>
        <w:t xml:space="preserve">approved </w:t>
      </w:r>
      <w:r w:rsidRPr="00680B99">
        <w:rPr>
          <w:rFonts w:cs="Arial"/>
          <w:color w:val="000000"/>
          <w:szCs w:val="22"/>
          <w:lang w:val="en-AU" w:eastAsia="en-GB" w:bidi="ar-SA"/>
        </w:rPr>
        <w:t>draft variation include amendments to update references in the Code.</w:t>
      </w:r>
    </w:p>
    <w:p w14:paraId="5D9BF93B" w14:textId="77777777" w:rsidR="00E233F3" w:rsidRPr="00E233F3" w:rsidRDefault="00E233F3" w:rsidP="00E233F3"/>
    <w:p w14:paraId="287BAA64" w14:textId="2751FA42" w:rsidR="00211C29" w:rsidRDefault="00B24121" w:rsidP="00E233F3">
      <w:r>
        <w:t>In relation to amendments in which</w:t>
      </w:r>
      <w:r w:rsidR="00211C29">
        <w:t xml:space="preserve"> </w:t>
      </w:r>
      <w:r w:rsidR="00211C29" w:rsidRPr="00E233F3">
        <w:t>references in the Code to various international publication</w:t>
      </w:r>
      <w:r w:rsidR="00F220CB">
        <w:t>s</w:t>
      </w:r>
      <w:r w:rsidR="00211C29" w:rsidRPr="00E233F3">
        <w:t xml:space="preserve"> have been replaced with reference to a more recent edition of </w:t>
      </w:r>
      <w:r w:rsidR="00BE4751" w:rsidRPr="00E233F3">
        <w:t>th</w:t>
      </w:r>
      <w:r w:rsidR="00BE4751">
        <w:t>e</w:t>
      </w:r>
      <w:r w:rsidR="00BE4751" w:rsidRPr="00E233F3">
        <w:t xml:space="preserve"> </w:t>
      </w:r>
      <w:r w:rsidR="00211C29" w:rsidRPr="00E233F3">
        <w:t>publication</w:t>
      </w:r>
      <w:r w:rsidR="00BE4751">
        <w:t xml:space="preserve"> concerned</w:t>
      </w:r>
      <w:r w:rsidR="00211C29" w:rsidRPr="00E233F3">
        <w:t xml:space="preserve">, </w:t>
      </w:r>
      <w:r w:rsidRPr="00E233F3">
        <w:t xml:space="preserve">FSANZ has confidence in the specialist abilities of the internationally recognised scientific organisation that produces each publication. FSANZ is satisfied that appropriate and rigorous assessments have been carried out by </w:t>
      </w:r>
      <w:r w:rsidR="00AE5623">
        <w:t>that organisation</w:t>
      </w:r>
      <w:r w:rsidRPr="00E233F3">
        <w:t xml:space="preserve"> to ensure that there are no public health or safety issues and that the publication can be incorporated by reference in the Code.</w:t>
      </w:r>
    </w:p>
    <w:p w14:paraId="1B2D7334" w14:textId="77777777" w:rsidR="00E233F3" w:rsidRPr="00211C29" w:rsidRDefault="00E233F3" w:rsidP="00E233F3"/>
    <w:p w14:paraId="6160BEFD" w14:textId="595900F2" w:rsidR="005F4D73" w:rsidRPr="00AE5623" w:rsidRDefault="005F4D73" w:rsidP="00E233F3">
      <w:pPr>
        <w:rPr>
          <w:rFonts w:cs="Arial"/>
        </w:rPr>
      </w:pPr>
      <w:r w:rsidRPr="00FA3A3B">
        <w:rPr>
          <w:rFonts w:cs="Arial"/>
          <w:szCs w:val="22"/>
          <w:lang w:val="en-AU" w:eastAsia="en-GB" w:bidi="ar-SA"/>
        </w:rPr>
        <w:t>No potential public health and safety concerns have been identified.</w:t>
      </w:r>
    </w:p>
    <w:p w14:paraId="5D3DD749" w14:textId="2EE52CAA" w:rsidR="002C1A3B" w:rsidRDefault="002C1A3B" w:rsidP="00840EF9">
      <w:pPr>
        <w:pStyle w:val="Heading2"/>
      </w:pPr>
      <w:bookmarkStart w:id="58" w:name="_Toc134451278"/>
      <w:r>
        <w:t>2.3</w:t>
      </w:r>
      <w:r>
        <w:tab/>
        <w:t>Risk management</w:t>
      </w:r>
      <w:bookmarkEnd w:id="55"/>
      <w:bookmarkEnd w:id="56"/>
      <w:bookmarkEnd w:id="58"/>
    </w:p>
    <w:p w14:paraId="5E0D6E2D" w14:textId="155B33B8" w:rsidR="00201B3D" w:rsidRDefault="00201B3D" w:rsidP="00DF0C35">
      <w:bookmarkStart w:id="59" w:name="_Toc309291814"/>
      <w:bookmarkStart w:id="60" w:name="_Toc370225389"/>
      <w:bookmarkStart w:id="61" w:name="_Toc286391012"/>
      <w:bookmarkEnd w:id="57"/>
      <w:r w:rsidRPr="00211C29">
        <w:t xml:space="preserve">The </w:t>
      </w:r>
      <w:r w:rsidR="00563FFB">
        <w:t>approved</w:t>
      </w:r>
      <w:r w:rsidRPr="00211C29">
        <w:t xml:space="preserve"> amendments will ensure that the Code remains current and that typographical errors, omissions and inconsistencies are addressed. As mentioned above, the </w:t>
      </w:r>
      <w:r w:rsidR="002650F2">
        <w:t>approved</w:t>
      </w:r>
      <w:r w:rsidRPr="00211C29">
        <w:t xml:space="preserve"> amendments are relatively minor in nature and no potential public health and safety concerns have been identified.</w:t>
      </w:r>
    </w:p>
    <w:p w14:paraId="2EA8CDCF" w14:textId="1CEC42C3" w:rsidR="00CF6575" w:rsidRDefault="00CF6575" w:rsidP="00DF0C35"/>
    <w:p w14:paraId="6DCF9230" w14:textId="6F8F6739" w:rsidR="00CF6575" w:rsidRPr="0017798B" w:rsidRDefault="00CF6575" w:rsidP="00CF6575">
      <w:pPr>
        <w:rPr>
          <w:b/>
          <w:bCs/>
        </w:rPr>
      </w:pPr>
      <w:r w:rsidRPr="0017798B">
        <w:t xml:space="preserve">The reasons for the </w:t>
      </w:r>
      <w:r w:rsidR="001E60CB">
        <w:t>approved</w:t>
      </w:r>
      <w:r w:rsidRPr="0017798B">
        <w:t xml:space="preserve"> variations are outlined in the supporting document to this report (SD).</w:t>
      </w:r>
    </w:p>
    <w:p w14:paraId="3A495CAE" w14:textId="77777777" w:rsidR="00DF0C35" w:rsidRDefault="00DF0C35" w:rsidP="00DF0C35"/>
    <w:p w14:paraId="5E9E1D16" w14:textId="100A4F48" w:rsidR="00201B3D" w:rsidRDefault="00201B3D" w:rsidP="00DF0C35">
      <w:pPr>
        <w:rPr>
          <w:b/>
          <w:bCs/>
          <w:color w:val="00B050"/>
        </w:rPr>
      </w:pPr>
      <w:r w:rsidRPr="00211C29">
        <w:t>As explained above</w:t>
      </w:r>
      <w:r w:rsidRPr="000D13D3">
        <w:t xml:space="preserve">, the New Zealand Government has taken action under New Zealand food laws to require, from 13 August 2023, </w:t>
      </w:r>
      <w:r w:rsidR="00AE5623" w:rsidRPr="000D13D3">
        <w:rPr>
          <w:rFonts w:cs="Arial"/>
          <w:szCs w:val="22"/>
        </w:rPr>
        <w:t xml:space="preserve">the addition of folic acid to wheat flour sold as suitable for </w:t>
      </w:r>
      <w:bookmarkStart w:id="62" w:name="_Hlk129260593"/>
      <w:r w:rsidR="00AE5623" w:rsidRPr="000D13D3">
        <w:rPr>
          <w:rFonts w:cs="Arial"/>
          <w:szCs w:val="22"/>
        </w:rPr>
        <w:t>making bread to which section 2.1.1—5</w:t>
      </w:r>
      <w:r w:rsidR="00AE5623" w:rsidRPr="000D13D3">
        <w:rPr>
          <w:rFonts w:cs="Arial"/>
          <w:color w:val="0D4A88"/>
          <w:szCs w:val="22"/>
        </w:rPr>
        <w:t> </w:t>
      </w:r>
      <w:r w:rsidR="00AE5623" w:rsidRPr="000D13D3">
        <w:rPr>
          <w:rFonts w:cs="Arial"/>
          <w:szCs w:val="22"/>
        </w:rPr>
        <w:t>of the Code applies</w:t>
      </w:r>
      <w:bookmarkEnd w:id="62"/>
      <w:r w:rsidRPr="000D13D3">
        <w:t>.</w:t>
      </w:r>
      <w:r w:rsidR="00A66656" w:rsidRPr="000D13D3">
        <w:rPr>
          <w:rStyle w:val="FootnoteReference"/>
        </w:rPr>
        <w:footnoteReference w:id="6"/>
      </w:r>
      <w:r w:rsidRPr="000D13D3">
        <w:t xml:space="preserve"> This</w:t>
      </w:r>
      <w:r w:rsidRPr="00211C29">
        <w:t xml:space="preserve"> </w:t>
      </w:r>
      <w:r w:rsidR="00AE5623">
        <w:t xml:space="preserve">action </w:t>
      </w:r>
      <w:r w:rsidRPr="00211C29">
        <w:t>require</w:t>
      </w:r>
      <w:r w:rsidR="00D5707B">
        <w:t>s</w:t>
      </w:r>
      <w:r w:rsidRPr="00211C29">
        <w:t xml:space="preserve"> amendment of Note 1 to section 1.1.1—3 of the Code and removal of the Note to section 2.1.1—5 of the Code to reflect that decision. The Notes currently explain that section 2.1.1—5 does not apply in New Zealand. </w:t>
      </w:r>
      <w:r w:rsidRPr="00261069">
        <w:t xml:space="preserve">A new Note </w:t>
      </w:r>
      <w:r w:rsidR="00D5707B">
        <w:t>is also</w:t>
      </w:r>
      <w:r w:rsidRPr="00261069">
        <w:t xml:space="preserve"> added at the end of paragraph 2.1.1—5(b</w:t>
      </w:r>
      <w:r w:rsidR="00D5707B" w:rsidRPr="00261069">
        <w:t>)</w:t>
      </w:r>
      <w:r w:rsidR="00D5707B">
        <w:t>, which</w:t>
      </w:r>
      <w:r w:rsidR="00357FA9" w:rsidRPr="00261069">
        <w:t xml:space="preserve"> contains the requirement related to </w:t>
      </w:r>
      <w:proofErr w:type="spellStart"/>
      <w:r w:rsidR="00E904FD">
        <w:t>thiamin</w:t>
      </w:r>
      <w:proofErr w:type="spellEnd"/>
      <w:r w:rsidR="00E904FD">
        <w:t>.</w:t>
      </w:r>
      <w:r w:rsidR="00357FA9" w:rsidRPr="00261069">
        <w:t xml:space="preserve"> </w:t>
      </w:r>
      <w:r w:rsidR="00E904FD">
        <w:t>T</w:t>
      </w:r>
      <w:r w:rsidR="00357FA9" w:rsidRPr="00261069">
        <w:t>he new Note clarif</w:t>
      </w:r>
      <w:r w:rsidR="00D5707B">
        <w:t>ies</w:t>
      </w:r>
      <w:r w:rsidR="00357FA9" w:rsidRPr="00261069">
        <w:t xml:space="preserve"> that this </w:t>
      </w:r>
      <w:r w:rsidR="00357FA9">
        <w:t>requirement appl</w:t>
      </w:r>
      <w:r w:rsidR="003F1589">
        <w:t xml:space="preserve">ies </w:t>
      </w:r>
      <w:r w:rsidR="00357FA9">
        <w:t>in</w:t>
      </w:r>
      <w:r w:rsidR="00357FA9" w:rsidRPr="00261069">
        <w:t xml:space="preserve"> Australia</w:t>
      </w:r>
      <w:r w:rsidR="00E904FD">
        <w:t xml:space="preserve"> only</w:t>
      </w:r>
      <w:r w:rsidRPr="00261069">
        <w:t>.</w:t>
      </w:r>
    </w:p>
    <w:p w14:paraId="45453B14" w14:textId="358C3370" w:rsidR="002C1A3B" w:rsidRPr="008C301D" w:rsidRDefault="002C1A3B" w:rsidP="00201B3D">
      <w:pPr>
        <w:pStyle w:val="Heading2"/>
        <w:ind w:left="0" w:firstLine="0"/>
      </w:pPr>
      <w:bookmarkStart w:id="63" w:name="_Toc134451279"/>
      <w:r>
        <w:lastRenderedPageBreak/>
        <w:t>2</w:t>
      </w:r>
      <w:r w:rsidRPr="008C301D">
        <w:t>.</w:t>
      </w:r>
      <w:r>
        <w:t>4</w:t>
      </w:r>
      <w:r w:rsidRPr="008C301D">
        <w:tab/>
        <w:t>Risk communication</w:t>
      </w:r>
      <w:bookmarkEnd w:id="59"/>
      <w:bookmarkEnd w:id="60"/>
      <w:bookmarkEnd w:id="63"/>
      <w:r w:rsidRPr="008C301D">
        <w:t xml:space="preserve"> </w:t>
      </w:r>
    </w:p>
    <w:p w14:paraId="0BF852AC" w14:textId="77777777" w:rsidR="002C1A3B" w:rsidRPr="00000F5D" w:rsidRDefault="002C1A3B" w:rsidP="002C1A3B">
      <w:pPr>
        <w:pStyle w:val="Heading3"/>
      </w:pPr>
      <w:bookmarkStart w:id="64" w:name="_Toc300933437"/>
      <w:bookmarkStart w:id="65" w:name="_Toc370223475"/>
      <w:bookmarkStart w:id="66" w:name="_Toc370225390"/>
      <w:bookmarkStart w:id="67" w:name="_Toc134451280"/>
      <w:r w:rsidRPr="00000F5D">
        <w:t>2.4.1</w:t>
      </w:r>
      <w:r w:rsidRPr="00000F5D">
        <w:tab/>
        <w:t>Consultation</w:t>
      </w:r>
      <w:bookmarkEnd w:id="64"/>
      <w:bookmarkEnd w:id="65"/>
      <w:bookmarkEnd w:id="66"/>
      <w:bookmarkEnd w:id="67"/>
    </w:p>
    <w:p w14:paraId="5088533F" w14:textId="77777777" w:rsidR="002C1A3B" w:rsidRPr="00A670A7" w:rsidRDefault="002C1A3B" w:rsidP="002C1A3B">
      <w:pPr>
        <w:rPr>
          <w:szCs w:val="22"/>
        </w:rPr>
      </w:pPr>
      <w:r w:rsidRPr="00A670A7">
        <w:rPr>
          <w:szCs w:val="22"/>
        </w:rPr>
        <w:t xml:space="preserve">Consultation is a key part of FSANZ’s standards development process. </w:t>
      </w:r>
    </w:p>
    <w:p w14:paraId="18EE6BA9" w14:textId="77777777" w:rsidR="002C1A3B" w:rsidRPr="00A670A7" w:rsidRDefault="002C1A3B" w:rsidP="002C1A3B">
      <w:pPr>
        <w:rPr>
          <w:color w:val="00B050"/>
        </w:rPr>
      </w:pPr>
    </w:p>
    <w:p w14:paraId="0A80A8C6" w14:textId="01730085" w:rsidR="002C1A3B" w:rsidRPr="00DA6040" w:rsidRDefault="00D16C71" w:rsidP="002C1A3B">
      <w:pPr>
        <w:rPr>
          <w:szCs w:val="22"/>
        </w:rPr>
      </w:pPr>
      <w:r w:rsidRPr="00DA6040">
        <w:rPr>
          <w:szCs w:val="22"/>
        </w:rPr>
        <w:t xml:space="preserve">FSANZ called for submissions regarding the draft variation from 30 January 2023 to 3 March 2023. </w:t>
      </w:r>
      <w:r w:rsidR="00F06E9B" w:rsidRPr="00DA6040">
        <w:rPr>
          <w:szCs w:val="22"/>
        </w:rPr>
        <w:t>The call for submissions was notified via the Notification Circular, and through FSANZ’s social media channels and Food Standard News. Subscribers and interested parties were notified about the availability of reports for public comment.</w:t>
      </w:r>
    </w:p>
    <w:p w14:paraId="59AB3BD5" w14:textId="77777777" w:rsidR="00F06E9B" w:rsidRPr="00A670A7" w:rsidRDefault="00F06E9B" w:rsidP="002C1A3B">
      <w:pPr>
        <w:rPr>
          <w:szCs w:val="22"/>
        </w:rPr>
      </w:pPr>
    </w:p>
    <w:p w14:paraId="339476E6" w14:textId="3C2D8104" w:rsidR="002C1A3B" w:rsidRDefault="002E2A15" w:rsidP="002C1A3B">
      <w:pPr>
        <w:rPr>
          <w:szCs w:val="22"/>
        </w:rPr>
      </w:pPr>
      <w:r w:rsidRPr="00554672">
        <w:t>Four</w:t>
      </w:r>
      <w:r w:rsidR="00D16C71" w:rsidRPr="00554672">
        <w:t xml:space="preserve"> </w:t>
      </w:r>
      <w:r w:rsidR="00D16C71" w:rsidRPr="00554672">
        <w:rPr>
          <w:szCs w:val="22"/>
        </w:rPr>
        <w:t>submissions</w:t>
      </w:r>
      <w:r w:rsidR="00D16C71" w:rsidRPr="00DA6040">
        <w:rPr>
          <w:szCs w:val="22"/>
        </w:rPr>
        <w:t xml:space="preserve"> were received</w:t>
      </w:r>
      <w:r w:rsidR="00AB2A40" w:rsidRPr="00DA6040">
        <w:rPr>
          <w:szCs w:val="22"/>
        </w:rPr>
        <w:t>.</w:t>
      </w:r>
      <w:r w:rsidR="00D16C71" w:rsidRPr="00DA6040">
        <w:rPr>
          <w:szCs w:val="22"/>
        </w:rPr>
        <w:t xml:space="preserve"> </w:t>
      </w:r>
      <w:r w:rsidR="00AB2A40">
        <w:rPr>
          <w:szCs w:val="22"/>
        </w:rPr>
        <w:t>All</w:t>
      </w:r>
      <w:r w:rsidR="002C1A3B" w:rsidRPr="002C1A3B">
        <w:rPr>
          <w:szCs w:val="22"/>
        </w:rPr>
        <w:t xml:space="preserve"> submission</w:t>
      </w:r>
      <w:r w:rsidR="00AB2A40">
        <w:rPr>
          <w:szCs w:val="22"/>
        </w:rPr>
        <w:t>s</w:t>
      </w:r>
      <w:r w:rsidR="002C1A3B" w:rsidRPr="002C1A3B">
        <w:rPr>
          <w:szCs w:val="22"/>
        </w:rPr>
        <w:t xml:space="preserve"> </w:t>
      </w:r>
      <w:r w:rsidR="00AB2A40">
        <w:rPr>
          <w:szCs w:val="22"/>
        </w:rPr>
        <w:t>were</w:t>
      </w:r>
      <w:r w:rsidR="00862349">
        <w:rPr>
          <w:szCs w:val="22"/>
        </w:rPr>
        <w:t xml:space="preserve"> considered</w:t>
      </w:r>
      <w:r w:rsidR="002C1A3B" w:rsidRPr="002C1A3B">
        <w:rPr>
          <w:szCs w:val="22"/>
        </w:rPr>
        <w:t xml:space="preserve"> by </w:t>
      </w:r>
      <w:r w:rsidR="00862349">
        <w:rPr>
          <w:szCs w:val="22"/>
        </w:rPr>
        <w:t xml:space="preserve">the </w:t>
      </w:r>
      <w:r w:rsidR="002C1A3B" w:rsidRPr="002C1A3B">
        <w:rPr>
          <w:szCs w:val="22"/>
        </w:rPr>
        <w:t xml:space="preserve">FSANZ </w:t>
      </w:r>
      <w:r w:rsidR="00862349">
        <w:rPr>
          <w:szCs w:val="22"/>
        </w:rPr>
        <w:t>Board</w:t>
      </w:r>
      <w:r w:rsidR="00AB2A40">
        <w:rPr>
          <w:szCs w:val="22"/>
        </w:rPr>
        <w:t xml:space="preserve"> as part of its assessment</w:t>
      </w:r>
      <w:r w:rsidR="002C1A3B" w:rsidRPr="002C1A3B">
        <w:rPr>
          <w:szCs w:val="22"/>
        </w:rPr>
        <w:t xml:space="preserve">. </w:t>
      </w:r>
    </w:p>
    <w:p w14:paraId="510CBF79" w14:textId="6FE3F97C" w:rsidR="00AB2A40" w:rsidRDefault="00AB2A40" w:rsidP="002C1A3B">
      <w:pPr>
        <w:rPr>
          <w:szCs w:val="22"/>
        </w:rPr>
      </w:pPr>
    </w:p>
    <w:p w14:paraId="19F791EA" w14:textId="77777777" w:rsidR="00AB2A40" w:rsidRPr="00A670A7" w:rsidRDefault="00AB2A40" w:rsidP="00AB2A40">
      <w:pPr>
        <w:rPr>
          <w:szCs w:val="22"/>
        </w:rPr>
      </w:pPr>
      <w:r w:rsidRPr="002C1A3B">
        <w:rPr>
          <w:szCs w:val="22"/>
        </w:rPr>
        <w:t>FSANZ acknowledges the time taken by individuals and organisations to make submissions on this</w:t>
      </w:r>
      <w:r w:rsidRPr="00DA6040">
        <w:rPr>
          <w:szCs w:val="22"/>
        </w:rPr>
        <w:t xml:space="preserve"> </w:t>
      </w:r>
      <w:r w:rsidRPr="00000F5D">
        <w:rPr>
          <w:szCs w:val="22"/>
        </w:rPr>
        <w:t>Proposal.</w:t>
      </w:r>
      <w:r w:rsidRPr="00DA6040">
        <w:rPr>
          <w:szCs w:val="22"/>
        </w:rPr>
        <w:t xml:space="preserve"> </w:t>
      </w:r>
      <w:r>
        <w:rPr>
          <w:szCs w:val="22"/>
        </w:rPr>
        <w:t>A</w:t>
      </w:r>
      <w:r w:rsidRPr="002C1A3B">
        <w:rPr>
          <w:szCs w:val="22"/>
        </w:rPr>
        <w:t>ll comments are valued and contribute to the rigour of our assessment.</w:t>
      </w:r>
    </w:p>
    <w:p w14:paraId="327F7689" w14:textId="7E4F76D1" w:rsidR="002C1A3B" w:rsidRPr="008C301D" w:rsidRDefault="002C1A3B" w:rsidP="002C1A3B">
      <w:pPr>
        <w:rPr>
          <w:noProof/>
          <w:color w:val="FF0000"/>
        </w:rPr>
      </w:pPr>
      <w:bookmarkStart w:id="68" w:name="_Toc175381455"/>
      <w:bookmarkEnd w:id="34"/>
      <w:bookmarkEnd w:id="35"/>
      <w:bookmarkEnd w:id="36"/>
      <w:bookmarkEnd w:id="37"/>
      <w:bookmarkEnd w:id="38"/>
      <w:bookmarkEnd w:id="39"/>
      <w:bookmarkEnd w:id="61"/>
    </w:p>
    <w:p w14:paraId="5EF33BA3" w14:textId="77777777" w:rsidR="002C1A3B" w:rsidRPr="002C1A3B" w:rsidRDefault="002C1A3B" w:rsidP="002C1A3B">
      <w:pPr>
        <w:pStyle w:val="Heading2"/>
      </w:pPr>
      <w:bookmarkStart w:id="69" w:name="_Toc370223477"/>
      <w:bookmarkStart w:id="70" w:name="_Toc370225392"/>
      <w:bookmarkStart w:id="71" w:name="_Toc134451281"/>
      <w:bookmarkStart w:id="72" w:name="_Toc309291816"/>
      <w:bookmarkStart w:id="73" w:name="_Toc300933448"/>
      <w:bookmarkStart w:id="74" w:name="_Toc300933577"/>
      <w:bookmarkStart w:id="75" w:name="_Toc301535601"/>
      <w:bookmarkStart w:id="76" w:name="_Toc309385464"/>
      <w:bookmarkStart w:id="77" w:name="_Toc175381456"/>
      <w:bookmarkEnd w:id="68"/>
      <w:r w:rsidRPr="002C1A3B">
        <w:t>2.5</w:t>
      </w:r>
      <w:r w:rsidRPr="002C1A3B">
        <w:tab/>
        <w:t>FSANZ Act assessment requirements</w:t>
      </w:r>
      <w:bookmarkEnd w:id="69"/>
      <w:bookmarkEnd w:id="70"/>
      <w:bookmarkEnd w:id="71"/>
    </w:p>
    <w:p w14:paraId="3443C7B3" w14:textId="5F7915B4" w:rsidR="002C1A3B" w:rsidRPr="002C1A3B" w:rsidRDefault="002C1A3B" w:rsidP="002C1A3B">
      <w:pPr>
        <w:pStyle w:val="Heading3"/>
      </w:pPr>
      <w:bookmarkStart w:id="78" w:name="_Toc370223478"/>
      <w:bookmarkStart w:id="79" w:name="_Toc370225393"/>
      <w:bookmarkStart w:id="80" w:name="_Toc134451282"/>
      <w:bookmarkEnd w:id="72"/>
      <w:bookmarkEnd w:id="73"/>
      <w:bookmarkEnd w:id="74"/>
      <w:bookmarkEnd w:id="75"/>
      <w:bookmarkEnd w:id="76"/>
      <w:r w:rsidRPr="002C1A3B">
        <w:t>2.5.1</w:t>
      </w:r>
      <w:r w:rsidRPr="002C1A3B">
        <w:tab/>
        <w:t>Section</w:t>
      </w:r>
      <w:r w:rsidRPr="00D257E6">
        <w:t xml:space="preserve"> 59</w:t>
      </w:r>
      <w:bookmarkEnd w:id="78"/>
      <w:bookmarkEnd w:id="79"/>
      <w:bookmarkEnd w:id="80"/>
    </w:p>
    <w:p w14:paraId="2750FA5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F374E1D" w14:textId="77777777" w:rsidR="0066593A" w:rsidRPr="0066593A" w:rsidRDefault="0066593A" w:rsidP="0066593A">
      <w:pPr>
        <w:rPr>
          <w:szCs w:val="22"/>
        </w:rPr>
      </w:pPr>
      <w:r w:rsidRPr="0066593A">
        <w:rPr>
          <w:szCs w:val="22"/>
        </w:rPr>
        <w:t>Section 59 requires FSANZ to have regard to whether the direct and indirect benefits that</w:t>
      </w:r>
    </w:p>
    <w:p w14:paraId="57BC6874" w14:textId="77777777" w:rsidR="0066593A" w:rsidRPr="0066593A" w:rsidRDefault="0066593A" w:rsidP="0066593A">
      <w:pPr>
        <w:rPr>
          <w:szCs w:val="22"/>
        </w:rPr>
      </w:pPr>
      <w:r w:rsidRPr="0066593A">
        <w:rPr>
          <w:szCs w:val="22"/>
        </w:rPr>
        <w:t>would arise from a food regulatory measure developed as a result of this Proposal will</w:t>
      </w:r>
    </w:p>
    <w:p w14:paraId="720013A3" w14:textId="77777777" w:rsidR="0066593A" w:rsidRPr="0066593A" w:rsidRDefault="0066593A" w:rsidP="0066593A">
      <w:pPr>
        <w:rPr>
          <w:szCs w:val="22"/>
        </w:rPr>
      </w:pPr>
      <w:r w:rsidRPr="0066593A">
        <w:rPr>
          <w:szCs w:val="22"/>
        </w:rPr>
        <w:t>outweigh the costs to the community, Government or industry that would arise from the</w:t>
      </w:r>
    </w:p>
    <w:p w14:paraId="471A5CE2" w14:textId="654E548F" w:rsidR="0066593A" w:rsidRDefault="0066593A" w:rsidP="0066593A">
      <w:pPr>
        <w:rPr>
          <w:szCs w:val="22"/>
        </w:rPr>
      </w:pPr>
      <w:r w:rsidRPr="0066593A">
        <w:rPr>
          <w:szCs w:val="22"/>
        </w:rPr>
        <w:t>development of that measure.</w:t>
      </w:r>
    </w:p>
    <w:p w14:paraId="090ECDD1" w14:textId="77777777" w:rsidR="0066593A" w:rsidRDefault="0066593A" w:rsidP="0066593A">
      <w:pPr>
        <w:rPr>
          <w:szCs w:val="22"/>
        </w:rPr>
      </w:pPr>
    </w:p>
    <w:p w14:paraId="709D74BC" w14:textId="448E334C" w:rsidR="00D377B8" w:rsidRPr="001E7CC6" w:rsidRDefault="002070C3" w:rsidP="002070C3">
      <w:pPr>
        <w:rPr>
          <w:szCs w:val="22"/>
        </w:rPr>
      </w:pPr>
      <w:r>
        <w:rPr>
          <w:szCs w:val="22"/>
        </w:rPr>
        <w:t>A</w:t>
      </w:r>
      <w:r w:rsidR="00D377B8" w:rsidRPr="001E7CC6">
        <w:rPr>
          <w:szCs w:val="22"/>
        </w:rPr>
        <w:t xml:space="preserve">ll </w:t>
      </w:r>
      <w:r w:rsidR="002A2CF8">
        <w:rPr>
          <w:szCs w:val="22"/>
        </w:rPr>
        <w:t xml:space="preserve">amendments in the approved draft </w:t>
      </w:r>
      <w:r w:rsidR="00D377B8" w:rsidRPr="001E7CC6">
        <w:rPr>
          <w:szCs w:val="22"/>
        </w:rPr>
        <w:t>variation are relatively minor in nature</w:t>
      </w:r>
      <w:r w:rsidR="0090676C">
        <w:rPr>
          <w:szCs w:val="22"/>
        </w:rPr>
        <w:t>;</w:t>
      </w:r>
      <w:r>
        <w:rPr>
          <w:szCs w:val="22"/>
        </w:rPr>
        <w:t xml:space="preserve"> and are</w:t>
      </w:r>
      <w:r w:rsidR="00D377B8" w:rsidRPr="001E7CC6">
        <w:rPr>
          <w:szCs w:val="22"/>
        </w:rPr>
        <w:t xml:space="preserve"> </w:t>
      </w:r>
      <w:r w:rsidRPr="002070C3">
        <w:rPr>
          <w:szCs w:val="22"/>
        </w:rPr>
        <w:t>not expected to impose costs on the community, industry or</w:t>
      </w:r>
      <w:r>
        <w:rPr>
          <w:szCs w:val="22"/>
        </w:rPr>
        <w:t xml:space="preserve"> </w:t>
      </w:r>
      <w:r w:rsidRPr="002070C3">
        <w:rPr>
          <w:szCs w:val="22"/>
        </w:rPr>
        <w:t>Government</w:t>
      </w:r>
      <w:r>
        <w:rPr>
          <w:szCs w:val="22"/>
        </w:rPr>
        <w:t>,</w:t>
      </w:r>
      <w:r w:rsidRPr="002070C3">
        <w:rPr>
          <w:szCs w:val="22"/>
        </w:rPr>
        <w:t xml:space="preserve"> </w:t>
      </w:r>
      <w:r>
        <w:rPr>
          <w:szCs w:val="22"/>
        </w:rPr>
        <w:t>which</w:t>
      </w:r>
      <w:r w:rsidRPr="002070C3">
        <w:rPr>
          <w:szCs w:val="22"/>
        </w:rPr>
        <w:t xml:space="preserve"> are additional to those already generated by compliance with or</w:t>
      </w:r>
      <w:r>
        <w:rPr>
          <w:szCs w:val="22"/>
        </w:rPr>
        <w:t xml:space="preserve"> </w:t>
      </w:r>
      <w:r w:rsidRPr="002070C3">
        <w:rPr>
          <w:szCs w:val="22"/>
        </w:rPr>
        <w:t>enforcement of the current Code</w:t>
      </w:r>
      <w:r>
        <w:rPr>
          <w:szCs w:val="22"/>
        </w:rPr>
        <w:t xml:space="preserve">. </w:t>
      </w:r>
    </w:p>
    <w:p w14:paraId="6C37EDA3" w14:textId="77777777" w:rsidR="00D377B8" w:rsidRPr="001E7CC6" w:rsidRDefault="00D377B8" w:rsidP="00D377B8">
      <w:pPr>
        <w:rPr>
          <w:szCs w:val="22"/>
        </w:rPr>
      </w:pPr>
    </w:p>
    <w:p w14:paraId="63943E97" w14:textId="5FE2410B" w:rsidR="00D377B8" w:rsidRDefault="00D377B8" w:rsidP="00D377B8">
      <w:pPr>
        <w:rPr>
          <w:szCs w:val="22"/>
        </w:rPr>
      </w:pPr>
      <w:r w:rsidRPr="001E7CC6">
        <w:rPr>
          <w:szCs w:val="22"/>
        </w:rPr>
        <w:t>If the amendments are not made, errors, omissions, inconsistencies and out of date references w</w:t>
      </w:r>
      <w:r w:rsidR="000C5EA8">
        <w:rPr>
          <w:szCs w:val="22"/>
        </w:rPr>
        <w:t>ill</w:t>
      </w:r>
      <w:r w:rsidRPr="001E7CC6">
        <w:rPr>
          <w:szCs w:val="22"/>
        </w:rPr>
        <w:t xml:space="preserve"> continue to exist, and the Code will retain provisions known to be inadequate.</w:t>
      </w:r>
    </w:p>
    <w:p w14:paraId="1078F951" w14:textId="44EDE549" w:rsidR="00C41066" w:rsidRDefault="00C41066" w:rsidP="00D377B8">
      <w:pPr>
        <w:rPr>
          <w:szCs w:val="22"/>
        </w:rPr>
      </w:pPr>
    </w:p>
    <w:p w14:paraId="75820ACA" w14:textId="68C5FD9B" w:rsidR="00C41066" w:rsidRPr="001E7CC6" w:rsidRDefault="00C41066" w:rsidP="00D377B8">
      <w:pPr>
        <w:rPr>
          <w:szCs w:val="22"/>
        </w:rPr>
      </w:pPr>
      <w:r>
        <w:rPr>
          <w:szCs w:val="22"/>
        </w:rPr>
        <w:t xml:space="preserve">For those reasons, FSANZ considers it likely </w:t>
      </w:r>
      <w:r w:rsidRPr="002070C3">
        <w:rPr>
          <w:szCs w:val="22"/>
        </w:rPr>
        <w:t>that the benefits to the community,</w:t>
      </w:r>
      <w:r w:rsidR="00A16442">
        <w:rPr>
          <w:szCs w:val="22"/>
        </w:rPr>
        <w:t xml:space="preserve"> </w:t>
      </w:r>
      <w:r w:rsidRPr="002070C3">
        <w:rPr>
          <w:szCs w:val="22"/>
        </w:rPr>
        <w:t xml:space="preserve">Government or industry that will arise from the </w:t>
      </w:r>
      <w:r>
        <w:rPr>
          <w:szCs w:val="22"/>
        </w:rPr>
        <w:t xml:space="preserve">approved </w:t>
      </w:r>
      <w:r w:rsidRPr="002070C3">
        <w:rPr>
          <w:szCs w:val="22"/>
        </w:rPr>
        <w:t xml:space="preserve">draft variation </w:t>
      </w:r>
      <w:r w:rsidR="006E0255">
        <w:rPr>
          <w:szCs w:val="22"/>
        </w:rPr>
        <w:t>would</w:t>
      </w:r>
      <w:r w:rsidRPr="002070C3">
        <w:rPr>
          <w:szCs w:val="22"/>
        </w:rPr>
        <w:t xml:space="preserve"> outweigh the costs that</w:t>
      </w:r>
      <w:r>
        <w:rPr>
          <w:szCs w:val="22"/>
        </w:rPr>
        <w:t xml:space="preserve"> </w:t>
      </w:r>
      <w:r w:rsidRPr="002070C3">
        <w:rPr>
          <w:szCs w:val="22"/>
        </w:rPr>
        <w:t>would arise from the development of that measure</w:t>
      </w:r>
      <w:r w:rsidRPr="001E7CC6">
        <w:rPr>
          <w:szCs w:val="22"/>
        </w:rPr>
        <w:t>.</w:t>
      </w:r>
    </w:p>
    <w:p w14:paraId="185004DE" w14:textId="77777777" w:rsidR="00D377B8" w:rsidRPr="001E7CC6" w:rsidRDefault="00D377B8" w:rsidP="00D377B8">
      <w:pPr>
        <w:rPr>
          <w:szCs w:val="22"/>
        </w:rPr>
      </w:pPr>
    </w:p>
    <w:p w14:paraId="771BB691" w14:textId="0C3F4972" w:rsidR="0099623A" w:rsidRPr="001E7CC6" w:rsidRDefault="00D377B8" w:rsidP="00D377B8">
      <w:pPr>
        <w:rPr>
          <w:szCs w:val="22"/>
        </w:rPr>
      </w:pPr>
      <w:r w:rsidRPr="001E7CC6">
        <w:rPr>
          <w:szCs w:val="22"/>
        </w:rPr>
        <w:t xml:space="preserve">The Australian Government’s Office of Impact Analysis, formerly known as the Office of Best Practice Regulation (OBPR), in an email on 22.12.22 (reference ID OBPR22-03854) </w:t>
      </w:r>
      <w:r w:rsidR="00C40945" w:rsidRPr="001E7CC6">
        <w:rPr>
          <w:szCs w:val="22"/>
        </w:rPr>
        <w:t>ha</w:t>
      </w:r>
      <w:r w:rsidR="00AE3382">
        <w:rPr>
          <w:szCs w:val="22"/>
        </w:rPr>
        <w:t>s</w:t>
      </w:r>
      <w:r w:rsidR="00C40945" w:rsidRPr="001E7CC6">
        <w:rPr>
          <w:szCs w:val="22"/>
        </w:rPr>
        <w:t xml:space="preserve"> </w:t>
      </w:r>
      <w:r w:rsidRPr="001E7CC6">
        <w:rPr>
          <w:szCs w:val="22"/>
        </w:rPr>
        <w:t>advised that, on the basis of information provided by FSANZ, Proposal P1061 is unlikely to have a more than minor regulatory impact. As such, the preparation of an Impact Analysis was not required for this Proposal.</w:t>
      </w:r>
    </w:p>
    <w:p w14:paraId="62A4C031" w14:textId="77777777" w:rsidR="002C1A3B" w:rsidRPr="002C1A3B" w:rsidRDefault="002C1A3B" w:rsidP="002C1A3B">
      <w:pPr>
        <w:pStyle w:val="Heading4"/>
      </w:pPr>
      <w:r w:rsidRPr="002C1A3B">
        <w:t>2.5.1.2</w:t>
      </w:r>
      <w:r w:rsidRPr="002C1A3B">
        <w:tab/>
        <w:t>Other measures</w:t>
      </w:r>
    </w:p>
    <w:p w14:paraId="656DF562" w14:textId="32139915" w:rsidR="002C1A3B" w:rsidRPr="001E7CC6" w:rsidRDefault="002C1A3B" w:rsidP="002C1A3B">
      <w:pPr>
        <w:rPr>
          <w:szCs w:val="22"/>
        </w:rPr>
      </w:pPr>
      <w:r w:rsidRPr="001E7CC6">
        <w:rPr>
          <w:szCs w:val="22"/>
        </w:rPr>
        <w:t>There are no other measures (whether available to FSANZ or not) that would be more cost-effective than a food regulatory measure developed or varied as a result of the Proposal.</w:t>
      </w:r>
    </w:p>
    <w:p w14:paraId="466BABC9" w14:textId="77777777" w:rsidR="002C1A3B" w:rsidRPr="002C1A3B" w:rsidRDefault="002C1A3B" w:rsidP="002C1A3B">
      <w:pPr>
        <w:pStyle w:val="Heading4"/>
      </w:pPr>
      <w:r w:rsidRPr="002C1A3B">
        <w:lastRenderedPageBreak/>
        <w:t>2.5.1.3</w:t>
      </w:r>
      <w:r w:rsidRPr="002C1A3B">
        <w:tab/>
        <w:t>Any relevant New Zealand standards</w:t>
      </w:r>
    </w:p>
    <w:p w14:paraId="5CC4A461" w14:textId="21E7D30B" w:rsidR="00C40945" w:rsidRDefault="00C40945" w:rsidP="000870A4">
      <w:pPr>
        <w:rPr>
          <w:szCs w:val="22"/>
        </w:rPr>
      </w:pPr>
      <w:r w:rsidRPr="000870A4">
        <w:rPr>
          <w:szCs w:val="22"/>
        </w:rPr>
        <w:t>The standards affected by the amendments apply either in Australia only; or in both Australia and New Zealand. The amendments do not amend any New Zealand only standards.</w:t>
      </w:r>
    </w:p>
    <w:p w14:paraId="408EA811" w14:textId="77777777" w:rsidR="000870A4" w:rsidRPr="000870A4" w:rsidRDefault="000870A4" w:rsidP="000870A4">
      <w:pPr>
        <w:rPr>
          <w:szCs w:val="22"/>
        </w:rPr>
      </w:pPr>
    </w:p>
    <w:p w14:paraId="746DB1E5" w14:textId="703620FD" w:rsidR="0067022F" w:rsidRDefault="00BD5AB9" w:rsidP="00BD5AB9">
      <w:pPr>
        <w:rPr>
          <w:szCs w:val="22"/>
        </w:rPr>
      </w:pPr>
      <w:r w:rsidRPr="00224710">
        <w:rPr>
          <w:szCs w:val="22"/>
        </w:rPr>
        <w:t xml:space="preserve">As explained above, </w:t>
      </w:r>
      <w:r w:rsidRPr="00230873">
        <w:rPr>
          <w:szCs w:val="22"/>
        </w:rPr>
        <w:t>the New Zealand Government has already taken action under its food law</w:t>
      </w:r>
      <w:r w:rsidR="00CB3C23">
        <w:rPr>
          <w:szCs w:val="22"/>
        </w:rPr>
        <w:t>s</w:t>
      </w:r>
      <w:r w:rsidRPr="00230873">
        <w:rPr>
          <w:szCs w:val="22"/>
        </w:rPr>
        <w:t xml:space="preserve"> to require that, from 13 August 2023, </w:t>
      </w:r>
      <w:r w:rsidR="00755AFF" w:rsidRPr="00230873">
        <w:rPr>
          <w:szCs w:val="22"/>
        </w:rPr>
        <w:t>wheat flour</w:t>
      </w:r>
      <w:r w:rsidRPr="00230873">
        <w:rPr>
          <w:szCs w:val="22"/>
        </w:rPr>
        <w:t xml:space="preserve"> sold as suitable for </w:t>
      </w:r>
      <w:r w:rsidR="00224710" w:rsidRPr="00224710">
        <w:rPr>
          <w:rFonts w:cs="Arial"/>
          <w:szCs w:val="22"/>
        </w:rPr>
        <w:t>making bread to which section 2.1.1—5</w:t>
      </w:r>
      <w:r w:rsidR="00224710" w:rsidRPr="00224710">
        <w:rPr>
          <w:rFonts w:cs="Arial"/>
          <w:color w:val="0D4A88"/>
          <w:szCs w:val="22"/>
        </w:rPr>
        <w:t> </w:t>
      </w:r>
      <w:r w:rsidR="00224710" w:rsidRPr="00224710">
        <w:rPr>
          <w:rFonts w:cs="Arial"/>
          <w:szCs w:val="22"/>
        </w:rPr>
        <w:t xml:space="preserve">of the Code applies </w:t>
      </w:r>
      <w:r w:rsidRPr="00767FFB">
        <w:rPr>
          <w:szCs w:val="22"/>
        </w:rPr>
        <w:t xml:space="preserve">must contain folic acid in accordance with </w:t>
      </w:r>
      <w:r w:rsidR="00224710" w:rsidRPr="00767FFB">
        <w:rPr>
          <w:szCs w:val="22"/>
        </w:rPr>
        <w:t>that section</w:t>
      </w:r>
      <w:r w:rsidRPr="00767FFB">
        <w:rPr>
          <w:szCs w:val="22"/>
        </w:rPr>
        <w:t>.</w:t>
      </w:r>
      <w:r w:rsidR="0067022F" w:rsidRPr="0067022F">
        <w:rPr>
          <w:szCs w:val="22"/>
        </w:rPr>
        <w:t xml:space="preserve"> </w:t>
      </w:r>
      <w:r w:rsidR="0067022F">
        <w:rPr>
          <w:szCs w:val="22"/>
        </w:rPr>
        <w:t>That section does not apply to bread represented as organic.</w:t>
      </w:r>
      <w:r w:rsidR="00CB09A6" w:rsidRPr="00767FFB">
        <w:rPr>
          <w:rStyle w:val="FootnoteReference"/>
          <w:szCs w:val="22"/>
        </w:rPr>
        <w:footnoteReference w:id="7"/>
      </w:r>
    </w:p>
    <w:p w14:paraId="76F80BC3" w14:textId="77777777" w:rsidR="0067022F" w:rsidRDefault="0067022F" w:rsidP="00BD5AB9">
      <w:pPr>
        <w:rPr>
          <w:szCs w:val="22"/>
        </w:rPr>
      </w:pPr>
    </w:p>
    <w:p w14:paraId="7D78FED2" w14:textId="3013C260" w:rsidR="00BD5AB9" w:rsidRPr="00BD5AB9" w:rsidRDefault="00BD5AB9" w:rsidP="00BD5AB9">
      <w:pPr>
        <w:rPr>
          <w:lang w:bidi="ar-SA"/>
        </w:rPr>
      </w:pPr>
      <w:r w:rsidRPr="00224710">
        <w:rPr>
          <w:szCs w:val="22"/>
        </w:rPr>
        <w:t xml:space="preserve">In order to reflect </w:t>
      </w:r>
      <w:r w:rsidR="0067022F">
        <w:rPr>
          <w:szCs w:val="22"/>
        </w:rPr>
        <w:t>the above-mentioned</w:t>
      </w:r>
      <w:r w:rsidR="0067022F" w:rsidRPr="00224710">
        <w:rPr>
          <w:szCs w:val="22"/>
        </w:rPr>
        <w:t xml:space="preserve"> </w:t>
      </w:r>
      <w:r w:rsidRPr="00224710">
        <w:rPr>
          <w:szCs w:val="22"/>
        </w:rPr>
        <w:t>change</w:t>
      </w:r>
      <w:r w:rsidR="005703A7">
        <w:rPr>
          <w:szCs w:val="22"/>
        </w:rPr>
        <w:t xml:space="preserve"> </w:t>
      </w:r>
      <w:r w:rsidR="005703A7">
        <w:t>in New Zealand food law</w:t>
      </w:r>
      <w:r w:rsidRPr="00224710">
        <w:rPr>
          <w:szCs w:val="22"/>
        </w:rPr>
        <w:t>, amendment of Note 1 to section 1.1.1—3 of the</w:t>
      </w:r>
      <w:r w:rsidRPr="000870A4">
        <w:rPr>
          <w:szCs w:val="22"/>
        </w:rPr>
        <w:t xml:space="preserve"> Code and removal of the Note to section 2.1.1—5 of the Code are required. </w:t>
      </w:r>
      <w:r w:rsidRPr="005304B4">
        <w:rPr>
          <w:szCs w:val="22"/>
        </w:rPr>
        <w:t xml:space="preserve">A new Note </w:t>
      </w:r>
      <w:r w:rsidR="00116C22">
        <w:rPr>
          <w:szCs w:val="22"/>
        </w:rPr>
        <w:t>is</w:t>
      </w:r>
      <w:r w:rsidRPr="005304B4">
        <w:rPr>
          <w:szCs w:val="22"/>
        </w:rPr>
        <w:t xml:space="preserve"> also added at the end of paragraph 2.1.1—5(b)</w:t>
      </w:r>
      <w:r w:rsidR="00116C22">
        <w:rPr>
          <w:szCs w:val="22"/>
        </w:rPr>
        <w:t>, which</w:t>
      </w:r>
      <w:r w:rsidR="004956C7" w:rsidRPr="004956C7">
        <w:rPr>
          <w:szCs w:val="22"/>
        </w:rPr>
        <w:t xml:space="preserve"> contains the requirement related to </w:t>
      </w:r>
      <w:proofErr w:type="spellStart"/>
      <w:r w:rsidR="00116C22">
        <w:rPr>
          <w:szCs w:val="22"/>
        </w:rPr>
        <w:t>thiamin</w:t>
      </w:r>
      <w:proofErr w:type="spellEnd"/>
      <w:r w:rsidR="00116C22">
        <w:rPr>
          <w:szCs w:val="22"/>
        </w:rPr>
        <w:t>.</w:t>
      </w:r>
      <w:r w:rsidR="004956C7" w:rsidRPr="004956C7">
        <w:rPr>
          <w:szCs w:val="22"/>
        </w:rPr>
        <w:t xml:space="preserve"> </w:t>
      </w:r>
      <w:r w:rsidR="00116C22">
        <w:rPr>
          <w:szCs w:val="22"/>
        </w:rPr>
        <w:t>T</w:t>
      </w:r>
      <w:r w:rsidR="004956C7" w:rsidRPr="004956C7">
        <w:rPr>
          <w:szCs w:val="22"/>
        </w:rPr>
        <w:t>he new Note clarif</w:t>
      </w:r>
      <w:r w:rsidR="005C648A">
        <w:rPr>
          <w:szCs w:val="22"/>
        </w:rPr>
        <w:t>ies</w:t>
      </w:r>
      <w:r w:rsidR="004956C7" w:rsidRPr="004956C7">
        <w:rPr>
          <w:szCs w:val="22"/>
        </w:rPr>
        <w:t xml:space="preserve"> that this requirement only applies in </w:t>
      </w:r>
      <w:r w:rsidR="004956C7" w:rsidRPr="005304B4">
        <w:rPr>
          <w:szCs w:val="22"/>
        </w:rPr>
        <w:t>Australia</w:t>
      </w:r>
      <w:r w:rsidRPr="005304B4">
        <w:rPr>
          <w:szCs w:val="22"/>
        </w:rPr>
        <w:t>.</w:t>
      </w:r>
    </w:p>
    <w:p w14:paraId="352EBDF1" w14:textId="2B54516E" w:rsidR="002C1A3B" w:rsidRPr="002C1A3B" w:rsidRDefault="002C1A3B" w:rsidP="00C40945">
      <w:pPr>
        <w:pStyle w:val="Heading4"/>
        <w:ind w:left="0" w:firstLine="0"/>
      </w:pPr>
      <w:r w:rsidRPr="002C1A3B">
        <w:t>2.5.1.4</w:t>
      </w:r>
      <w:r w:rsidRPr="002C1A3B">
        <w:tab/>
        <w:t>Any other relevant matters</w:t>
      </w:r>
    </w:p>
    <w:p w14:paraId="2C2668FC" w14:textId="77777777" w:rsidR="001F7F63" w:rsidRPr="005A3C83" w:rsidRDefault="001F7F63" w:rsidP="001F7F63">
      <w:pPr>
        <w:rPr>
          <w:szCs w:val="22"/>
        </w:rPr>
      </w:pPr>
      <w:bookmarkStart w:id="81" w:name="_Toc370223479"/>
      <w:bookmarkStart w:id="82" w:name="_Toc370225394"/>
      <w:bookmarkStart w:id="83" w:name="_Toc300761897"/>
      <w:bookmarkStart w:id="84" w:name="_Toc300933440"/>
      <w:r w:rsidRPr="005A3C83">
        <w:rPr>
          <w:szCs w:val="22"/>
        </w:rPr>
        <w:t xml:space="preserve">Other relevant matters are considered below. </w:t>
      </w:r>
    </w:p>
    <w:p w14:paraId="58966203" w14:textId="56E8EFE3" w:rsidR="002C1A3B" w:rsidRPr="002C1A3B" w:rsidRDefault="002C1A3B" w:rsidP="002C1A3B">
      <w:pPr>
        <w:pStyle w:val="Heading3"/>
      </w:pPr>
      <w:bookmarkStart w:id="85" w:name="_Toc134451283"/>
      <w:r w:rsidRPr="002C1A3B">
        <w:t>2.5.2</w:t>
      </w:r>
      <w:r w:rsidRPr="002C1A3B">
        <w:tab/>
        <w:t>Subsection 18(1)</w:t>
      </w:r>
      <w:bookmarkEnd w:id="81"/>
      <w:bookmarkEnd w:id="82"/>
      <w:bookmarkEnd w:id="85"/>
      <w:r w:rsidRPr="002C1A3B">
        <w:t xml:space="preserve"> </w:t>
      </w:r>
      <w:bookmarkEnd w:id="83"/>
      <w:bookmarkEnd w:id="84"/>
    </w:p>
    <w:p w14:paraId="2B3CBB72" w14:textId="3AE54F1E" w:rsidR="00457852" w:rsidRPr="005A3C83" w:rsidRDefault="00457852" w:rsidP="00457852">
      <w:pPr>
        <w:rPr>
          <w:szCs w:val="22"/>
        </w:rPr>
      </w:pPr>
      <w:r w:rsidRPr="005A3C83">
        <w:rPr>
          <w:szCs w:val="22"/>
        </w:rPr>
        <w:t xml:space="preserve">FSANZ had regard to the three objectives in subsection 18(1) of the FSANZ Act during the assessment of the </w:t>
      </w:r>
      <w:r w:rsidR="00732039" w:rsidRPr="005A3C83">
        <w:rPr>
          <w:szCs w:val="22"/>
        </w:rPr>
        <w:t>P</w:t>
      </w:r>
      <w:r w:rsidRPr="005A3C83">
        <w:rPr>
          <w:szCs w:val="22"/>
        </w:rPr>
        <w:t>roposal, that is:</w:t>
      </w:r>
    </w:p>
    <w:p w14:paraId="6B2D1D51" w14:textId="77777777" w:rsidR="00457852" w:rsidRPr="00457852" w:rsidRDefault="00457852" w:rsidP="00457852"/>
    <w:p w14:paraId="53EFDD6E" w14:textId="5C9C504E" w:rsidR="00457852" w:rsidRPr="00457852" w:rsidRDefault="00457852" w:rsidP="00851B45">
      <w:pPr>
        <w:pStyle w:val="ListParagraph"/>
        <w:numPr>
          <w:ilvl w:val="0"/>
          <w:numId w:val="5"/>
        </w:numPr>
      </w:pPr>
      <w:r w:rsidRPr="00457852">
        <w:t>the protection of public health and safety</w:t>
      </w:r>
    </w:p>
    <w:p w14:paraId="340E96B5" w14:textId="67FF0297" w:rsidR="00457852" w:rsidRPr="00457852" w:rsidRDefault="00457852" w:rsidP="00851B45">
      <w:pPr>
        <w:pStyle w:val="ListParagraph"/>
        <w:numPr>
          <w:ilvl w:val="0"/>
          <w:numId w:val="5"/>
        </w:numPr>
      </w:pPr>
      <w:r w:rsidRPr="00457852">
        <w:t>the provision of adequate information relating to food to enable consumers to make informed choices</w:t>
      </w:r>
    </w:p>
    <w:p w14:paraId="2EB87E1D" w14:textId="537E20FE" w:rsidR="00457852" w:rsidRDefault="00457852" w:rsidP="00851B45">
      <w:pPr>
        <w:pStyle w:val="ListParagraph"/>
        <w:numPr>
          <w:ilvl w:val="0"/>
          <w:numId w:val="5"/>
        </w:numPr>
      </w:pPr>
      <w:r w:rsidRPr="00457852">
        <w:t>the prevention of misleading or deceptive conduct.</w:t>
      </w:r>
    </w:p>
    <w:p w14:paraId="28C48F22" w14:textId="77777777" w:rsidR="00457852" w:rsidRPr="00457852" w:rsidRDefault="00457852" w:rsidP="00457852"/>
    <w:p w14:paraId="625185DB" w14:textId="5E595A34" w:rsidR="002C1A3B" w:rsidRPr="005A3C83" w:rsidRDefault="00457852" w:rsidP="00457852">
      <w:pPr>
        <w:rPr>
          <w:szCs w:val="22"/>
        </w:rPr>
      </w:pPr>
      <w:r w:rsidRPr="005A3C83">
        <w:rPr>
          <w:szCs w:val="22"/>
        </w:rPr>
        <w:t xml:space="preserve">FSANZ concluded that the </w:t>
      </w:r>
      <w:r w:rsidR="00CE770C">
        <w:rPr>
          <w:szCs w:val="22"/>
        </w:rPr>
        <w:t>approved draft variation</w:t>
      </w:r>
      <w:r w:rsidRPr="005A3C83">
        <w:rPr>
          <w:szCs w:val="22"/>
        </w:rPr>
        <w:t xml:space="preserve"> will have little or no direct impact in terms of these objectives. As mentioned above, amendments </w:t>
      </w:r>
      <w:r w:rsidR="000260DA">
        <w:rPr>
          <w:szCs w:val="22"/>
        </w:rPr>
        <w:t xml:space="preserve">in the approved draft variation </w:t>
      </w:r>
      <w:r w:rsidRPr="005A3C83">
        <w:rPr>
          <w:szCs w:val="22"/>
        </w:rPr>
        <w:t>are relatively minor in nature and no potential public health and safety concerns have been identified.</w:t>
      </w:r>
    </w:p>
    <w:p w14:paraId="6C8914AC" w14:textId="77777777" w:rsidR="002C1A3B" w:rsidRPr="002C1A3B" w:rsidRDefault="002C1A3B" w:rsidP="002B6DD4">
      <w:pPr>
        <w:pStyle w:val="Heading3"/>
      </w:pPr>
      <w:bookmarkStart w:id="86" w:name="_Toc300761901"/>
      <w:bookmarkStart w:id="87" w:name="_Toc300933444"/>
      <w:bookmarkStart w:id="88" w:name="_Toc370223480"/>
      <w:bookmarkStart w:id="89" w:name="_Toc370225395"/>
      <w:bookmarkStart w:id="90" w:name="_Toc134451284"/>
      <w:r w:rsidRPr="002C1A3B">
        <w:t>2.5.3</w:t>
      </w:r>
      <w:r w:rsidRPr="002C1A3B">
        <w:tab/>
        <w:t xml:space="preserve">Subsection 18(2) </w:t>
      </w:r>
      <w:bookmarkEnd w:id="86"/>
      <w:bookmarkEnd w:id="87"/>
      <w:r w:rsidRPr="002C1A3B">
        <w:t>considerations</w:t>
      </w:r>
      <w:bookmarkEnd w:id="88"/>
      <w:bookmarkEnd w:id="89"/>
      <w:bookmarkEnd w:id="90"/>
    </w:p>
    <w:p w14:paraId="5764586A" w14:textId="53E79A32" w:rsidR="000F128D" w:rsidRPr="008120F9" w:rsidRDefault="000F128D" w:rsidP="000F128D">
      <w:pPr>
        <w:rPr>
          <w:szCs w:val="22"/>
        </w:rPr>
      </w:pPr>
      <w:r w:rsidRPr="008120F9">
        <w:rPr>
          <w:szCs w:val="22"/>
        </w:rPr>
        <w:t>FSANZ has also had regard to:</w:t>
      </w:r>
    </w:p>
    <w:p w14:paraId="7713504B" w14:textId="77777777" w:rsidR="000F128D" w:rsidRPr="000F128D" w:rsidRDefault="000F128D" w:rsidP="000F128D"/>
    <w:p w14:paraId="3FA0B492" w14:textId="4B082A43" w:rsidR="000F128D" w:rsidRPr="00224710" w:rsidRDefault="000F128D" w:rsidP="00851B45">
      <w:pPr>
        <w:pStyle w:val="ListParagraph"/>
        <w:numPr>
          <w:ilvl w:val="0"/>
          <w:numId w:val="6"/>
        </w:numPr>
        <w:rPr>
          <w:rFonts w:cs="Arial"/>
        </w:rPr>
      </w:pPr>
      <w:r w:rsidRPr="00224710">
        <w:rPr>
          <w:rFonts w:cs="Arial"/>
        </w:rPr>
        <w:t>the need for standards to be based on risk analysis using the best available scientific evidence</w:t>
      </w:r>
    </w:p>
    <w:p w14:paraId="134A3CA9" w14:textId="2205DD96" w:rsidR="00DB13B3" w:rsidRPr="00224710" w:rsidRDefault="00DB13B3" w:rsidP="00851B45">
      <w:pPr>
        <w:pStyle w:val="ListParagraph"/>
        <w:numPr>
          <w:ilvl w:val="0"/>
          <w:numId w:val="6"/>
        </w:numPr>
        <w:rPr>
          <w:rFonts w:cs="Arial"/>
        </w:rPr>
      </w:pPr>
      <w:r w:rsidRPr="00FB77A2">
        <w:rPr>
          <w:rFonts w:cs="Arial"/>
          <w:szCs w:val="22"/>
          <w:lang w:val="en-AU" w:eastAsia="en-GB" w:bidi="ar-SA"/>
        </w:rPr>
        <w:t>the promotion of consistency between domestic and international food standards</w:t>
      </w:r>
    </w:p>
    <w:p w14:paraId="133C2B9E" w14:textId="1A6A8839" w:rsidR="000F128D" w:rsidRPr="000F128D" w:rsidRDefault="000F128D" w:rsidP="00851B45">
      <w:pPr>
        <w:pStyle w:val="ListParagraph"/>
        <w:numPr>
          <w:ilvl w:val="0"/>
          <w:numId w:val="6"/>
        </w:numPr>
      </w:pPr>
      <w:r w:rsidRPr="000F128D">
        <w:t>the desirability of an efficient and internationally competitive food industry</w:t>
      </w:r>
    </w:p>
    <w:p w14:paraId="0662196E" w14:textId="03F8A1FE" w:rsidR="000F128D" w:rsidRPr="000F128D" w:rsidRDefault="000F128D" w:rsidP="00851B45">
      <w:pPr>
        <w:pStyle w:val="ListParagraph"/>
        <w:numPr>
          <w:ilvl w:val="0"/>
          <w:numId w:val="6"/>
        </w:numPr>
      </w:pPr>
      <w:r w:rsidRPr="000F128D">
        <w:t>the promotion of fair trading in food</w:t>
      </w:r>
    </w:p>
    <w:p w14:paraId="01FF9156" w14:textId="56CD8155" w:rsidR="002C1A3B" w:rsidRDefault="000F128D" w:rsidP="00851B45">
      <w:pPr>
        <w:pStyle w:val="ListParagraph"/>
        <w:numPr>
          <w:ilvl w:val="0"/>
          <w:numId w:val="6"/>
        </w:numPr>
      </w:pPr>
      <w:r w:rsidRPr="000F128D">
        <w:t>any written policy guidelines formulated by the Forum on Food Regulation.</w:t>
      </w:r>
    </w:p>
    <w:p w14:paraId="24E78ACC" w14:textId="2A043DE1" w:rsidR="00F55706" w:rsidRDefault="00F55706" w:rsidP="00F55706"/>
    <w:p w14:paraId="2FB3F0A4" w14:textId="4EABCEB0" w:rsidR="00F55706" w:rsidRPr="008120F9" w:rsidRDefault="00F55706" w:rsidP="008120F9">
      <w:pPr>
        <w:rPr>
          <w:szCs w:val="22"/>
        </w:rPr>
      </w:pPr>
      <w:r w:rsidRPr="008120F9">
        <w:rPr>
          <w:szCs w:val="22"/>
        </w:rPr>
        <w:t>In particular, in relation to the promotion of consistency between domestic and international food standards, several amendments update references to internationally recognised</w:t>
      </w:r>
    </w:p>
    <w:p w14:paraId="7FC6BBC6" w14:textId="25239B8C" w:rsidR="00F55706" w:rsidRPr="008120F9" w:rsidRDefault="00F55706" w:rsidP="00F55706">
      <w:pPr>
        <w:rPr>
          <w:szCs w:val="22"/>
        </w:rPr>
      </w:pPr>
      <w:r w:rsidRPr="008120F9">
        <w:rPr>
          <w:szCs w:val="22"/>
        </w:rPr>
        <w:t>publications.</w:t>
      </w:r>
    </w:p>
    <w:p w14:paraId="64685F83" w14:textId="77777777" w:rsidR="0012388D" w:rsidRDefault="00D15A08" w:rsidP="006C22A7">
      <w:pPr>
        <w:spacing w:before="240"/>
        <w:rPr>
          <w:b/>
          <w:sz w:val="28"/>
          <w:szCs w:val="28"/>
        </w:rPr>
      </w:pPr>
      <w:bookmarkStart w:id="91" w:name="_Toc11735643"/>
      <w:bookmarkStart w:id="92" w:name="_Toc29883130"/>
      <w:bookmarkStart w:id="93" w:name="_Toc41906817"/>
      <w:bookmarkStart w:id="94" w:name="_Toc41907564"/>
      <w:bookmarkStart w:id="95" w:name="_Toc43112360"/>
      <w:bookmarkEnd w:id="77"/>
      <w:r w:rsidRPr="006C22A7">
        <w:rPr>
          <w:b/>
          <w:sz w:val="28"/>
          <w:szCs w:val="28"/>
        </w:rPr>
        <w:t>A</w:t>
      </w:r>
      <w:bookmarkEnd w:id="91"/>
      <w:bookmarkEnd w:id="92"/>
      <w:bookmarkEnd w:id="93"/>
      <w:bookmarkEnd w:id="94"/>
      <w:bookmarkEnd w:id="95"/>
      <w:r w:rsidR="00B21055">
        <w:rPr>
          <w:b/>
          <w:sz w:val="28"/>
          <w:szCs w:val="28"/>
        </w:rPr>
        <w:t>ttachments</w:t>
      </w:r>
    </w:p>
    <w:p w14:paraId="1325131D" w14:textId="77777777" w:rsidR="006C22A7" w:rsidRDefault="006C22A7" w:rsidP="00755F02"/>
    <w:p w14:paraId="105AEFF1" w14:textId="43225078"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C26370">
        <w:rPr>
          <w:iCs/>
        </w:rPr>
        <w:t>Australia New Zealand Food Standards Code</w:t>
      </w:r>
      <w:r w:rsidR="005E06C0">
        <w:rPr>
          <w:i/>
        </w:rPr>
        <w:t xml:space="preserve"> </w:t>
      </w:r>
    </w:p>
    <w:p w14:paraId="0BB3B111"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079C9BB7" w14:textId="58D6539D" w:rsidR="006C22A7" w:rsidRPr="003E1EC7" w:rsidRDefault="00456BD5" w:rsidP="00E47D3B">
      <w:pPr>
        <w:ind w:left="567" w:hanging="567"/>
      </w:pPr>
      <w:r w:rsidRPr="003E1EC7">
        <w:t>C.</w:t>
      </w:r>
      <w:r w:rsidRPr="003E1EC7">
        <w:tab/>
      </w:r>
      <w:r w:rsidR="00E47D3B" w:rsidRPr="003E1EC7">
        <w:t xml:space="preserve">Draft variation to the </w:t>
      </w:r>
      <w:r w:rsidR="00E47D3B" w:rsidRPr="00C26370">
        <w:rPr>
          <w:iCs/>
        </w:rPr>
        <w:t>Australia New Zealand Food Standards Code</w:t>
      </w:r>
      <w:r w:rsidR="00E47D3B" w:rsidRPr="003E1EC7">
        <w:rPr>
          <w:i/>
        </w:rPr>
        <w:t xml:space="preserve"> </w:t>
      </w:r>
      <w:r w:rsidR="00E47D3B" w:rsidRPr="003E1EC7">
        <w:t>(call for submissions)</w:t>
      </w:r>
    </w:p>
    <w:p w14:paraId="2C786B05" w14:textId="7F6A75DC" w:rsidR="00456BD5" w:rsidRDefault="003C4969" w:rsidP="00456BD5">
      <w:pPr>
        <w:pStyle w:val="Heading2"/>
        <w:ind w:left="0" w:firstLine="0"/>
        <w:rPr>
          <w:iCs/>
        </w:rPr>
      </w:pPr>
      <w:r w:rsidRPr="00932F14">
        <w:br w:type="page"/>
      </w:r>
      <w:bookmarkStart w:id="96" w:name="_Toc29883131"/>
      <w:bookmarkStart w:id="97" w:name="_Toc41906818"/>
      <w:bookmarkStart w:id="98" w:name="_Toc41907565"/>
      <w:bookmarkStart w:id="99" w:name="_Toc120358596"/>
      <w:bookmarkStart w:id="100" w:name="_Toc175381458"/>
      <w:bookmarkStart w:id="101" w:name="_Toc11735644"/>
      <w:bookmarkStart w:id="102" w:name="_Toc134451285"/>
      <w:r w:rsidRPr="00932F14">
        <w:lastRenderedPageBreak/>
        <w:t xml:space="preserve">Attachment </w:t>
      </w:r>
      <w:bookmarkEnd w:id="96"/>
      <w:bookmarkEnd w:id="97"/>
      <w:bookmarkEnd w:id="98"/>
      <w:bookmarkEnd w:id="99"/>
      <w:bookmarkEnd w:id="100"/>
      <w:r w:rsidR="00456B54">
        <w:t>A</w:t>
      </w:r>
      <w:bookmarkStart w:id="103" w:name="_Toc120358597"/>
      <w:bookmarkStart w:id="104" w:name="_Toc175381459"/>
      <w:bookmarkEnd w:id="101"/>
      <w:r w:rsidR="00755F02">
        <w:t xml:space="preserve"> –</w:t>
      </w:r>
      <w:bookmarkStart w:id="105" w:name="_Toc120358598"/>
      <w:bookmarkStart w:id="106" w:name="_Toc175381460"/>
      <w:bookmarkEnd w:id="103"/>
      <w:bookmarkEnd w:id="104"/>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F43117">
        <w:rPr>
          <w:iCs/>
        </w:rPr>
        <w:t>Australia New Zealand Food Standards Code</w:t>
      </w:r>
      <w:bookmarkEnd w:id="102"/>
      <w:r w:rsidR="00456BD5">
        <w:rPr>
          <w:i/>
        </w:rPr>
        <w:t xml:space="preserve"> </w:t>
      </w:r>
    </w:p>
    <w:p w14:paraId="219F094F" w14:textId="77777777" w:rsidR="00DF58C6" w:rsidRPr="00DF58C6" w:rsidRDefault="00DF58C6" w:rsidP="00DF58C6">
      <w:pPr>
        <w:tabs>
          <w:tab w:val="left" w:pos="851"/>
        </w:tabs>
        <w:rPr>
          <w:noProof/>
          <w:sz w:val="20"/>
          <w:szCs w:val="20"/>
          <w:lang w:val="en-AU" w:eastAsia="en-AU" w:bidi="ar-SA"/>
        </w:rPr>
      </w:pPr>
      <w:r w:rsidRPr="00DF58C6">
        <w:rPr>
          <w:noProof/>
          <w:color w:val="2B579A"/>
          <w:sz w:val="20"/>
          <w:szCs w:val="20"/>
          <w:shd w:val="clear" w:color="auto" w:fill="E6E6E6"/>
          <w:lang w:val="en-AU" w:eastAsia="en-AU" w:bidi="ar-SA"/>
        </w:rPr>
        <w:drawing>
          <wp:inline distT="0" distB="0" distL="0" distR="0" wp14:anchorId="6B1F68BD" wp14:editId="2F021804">
            <wp:extent cx="2654300" cy="438150"/>
            <wp:effectExtent l="0" t="0" r="0"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6D34CDF9" w14:textId="77777777" w:rsidR="00DF58C6" w:rsidRPr="00DF58C6" w:rsidRDefault="00DF58C6" w:rsidP="00DF58C6">
      <w:pPr>
        <w:pBdr>
          <w:bottom w:val="single" w:sz="4" w:space="1" w:color="auto"/>
        </w:pBdr>
        <w:tabs>
          <w:tab w:val="left" w:pos="851"/>
        </w:tabs>
        <w:rPr>
          <w:b/>
          <w:bCs/>
          <w:szCs w:val="20"/>
          <w:lang w:bidi="ar-SA"/>
        </w:rPr>
      </w:pPr>
    </w:p>
    <w:p w14:paraId="1DCEC517" w14:textId="77777777" w:rsidR="00DF58C6" w:rsidRPr="00DF58C6" w:rsidRDefault="00DF58C6" w:rsidP="00DF58C6">
      <w:pPr>
        <w:pBdr>
          <w:bottom w:val="single" w:sz="4" w:space="1" w:color="auto"/>
        </w:pBdr>
        <w:tabs>
          <w:tab w:val="left" w:pos="851"/>
        </w:tabs>
        <w:rPr>
          <w:b/>
          <w:sz w:val="20"/>
          <w:szCs w:val="20"/>
          <w:lang w:bidi="ar-SA"/>
        </w:rPr>
      </w:pPr>
      <w:r w:rsidRPr="00DF58C6">
        <w:rPr>
          <w:b/>
          <w:sz w:val="20"/>
          <w:szCs w:val="20"/>
          <w:lang w:bidi="ar-SA"/>
        </w:rPr>
        <w:t>Food Standards (Proposal P1061– Code Revision (2023)) Variation</w:t>
      </w:r>
    </w:p>
    <w:p w14:paraId="206BD21B" w14:textId="77777777" w:rsidR="00DF58C6" w:rsidRPr="00DF58C6" w:rsidRDefault="00DF58C6" w:rsidP="00DF58C6">
      <w:pPr>
        <w:pBdr>
          <w:bottom w:val="single" w:sz="4" w:space="1" w:color="auto"/>
        </w:pBdr>
        <w:tabs>
          <w:tab w:val="left" w:pos="851"/>
        </w:tabs>
        <w:rPr>
          <w:b/>
          <w:sz w:val="20"/>
          <w:szCs w:val="20"/>
          <w:lang w:bidi="ar-SA"/>
        </w:rPr>
      </w:pPr>
    </w:p>
    <w:p w14:paraId="63682BF9" w14:textId="77777777" w:rsidR="00DF58C6" w:rsidRPr="00DF58C6" w:rsidRDefault="00DF58C6" w:rsidP="00DF58C6">
      <w:pPr>
        <w:tabs>
          <w:tab w:val="left" w:pos="851"/>
        </w:tabs>
        <w:rPr>
          <w:sz w:val="20"/>
          <w:szCs w:val="20"/>
          <w:lang w:bidi="ar-SA"/>
        </w:rPr>
      </w:pPr>
    </w:p>
    <w:p w14:paraId="2E6BEB51" w14:textId="77777777" w:rsidR="00DF58C6" w:rsidRPr="00DF58C6" w:rsidRDefault="00DF58C6" w:rsidP="00DF58C6">
      <w:pPr>
        <w:tabs>
          <w:tab w:val="left" w:pos="851"/>
        </w:tabs>
        <w:rPr>
          <w:sz w:val="20"/>
          <w:szCs w:val="20"/>
          <w:lang w:bidi="ar-SA"/>
        </w:rPr>
      </w:pPr>
      <w:r w:rsidRPr="00DF58C6">
        <w:rPr>
          <w:sz w:val="20"/>
          <w:szCs w:val="20"/>
          <w:lang w:bidi="ar-SA"/>
        </w:rPr>
        <w:t xml:space="preserve">The Board of Food Standards Australia New Zealand gives notice of the making of this variation under section 92 of the </w:t>
      </w:r>
      <w:r w:rsidRPr="00DF58C6">
        <w:rPr>
          <w:i/>
          <w:sz w:val="20"/>
          <w:szCs w:val="20"/>
          <w:lang w:bidi="ar-SA"/>
        </w:rPr>
        <w:t>Food Standards Australia New Zealand Act 1991</w:t>
      </w:r>
      <w:r w:rsidRPr="00DF58C6">
        <w:rPr>
          <w:sz w:val="20"/>
          <w:szCs w:val="20"/>
          <w:lang w:bidi="ar-SA"/>
        </w:rPr>
        <w:t>.  The variation commences on the date specified in clause 3 of this variation.</w:t>
      </w:r>
    </w:p>
    <w:p w14:paraId="7D2F3F90" w14:textId="77777777" w:rsidR="00DF58C6" w:rsidRPr="00DF58C6" w:rsidRDefault="00DF58C6" w:rsidP="00DF58C6">
      <w:pPr>
        <w:tabs>
          <w:tab w:val="left" w:pos="851"/>
        </w:tabs>
        <w:rPr>
          <w:sz w:val="20"/>
          <w:szCs w:val="20"/>
          <w:lang w:bidi="ar-SA"/>
        </w:rPr>
      </w:pPr>
    </w:p>
    <w:p w14:paraId="18A67FE9" w14:textId="77777777" w:rsidR="00DF58C6" w:rsidRPr="00DF58C6" w:rsidRDefault="00DF58C6" w:rsidP="00DF58C6">
      <w:pPr>
        <w:tabs>
          <w:tab w:val="left" w:pos="851"/>
        </w:tabs>
        <w:rPr>
          <w:sz w:val="20"/>
          <w:szCs w:val="20"/>
          <w:lang w:bidi="ar-SA"/>
        </w:rPr>
      </w:pPr>
      <w:r w:rsidRPr="00DF58C6">
        <w:rPr>
          <w:sz w:val="20"/>
          <w:szCs w:val="20"/>
          <w:lang w:bidi="ar-SA"/>
        </w:rPr>
        <w:t xml:space="preserve">Dated </w:t>
      </w:r>
      <w:r w:rsidRPr="00DF58C6">
        <w:rPr>
          <w:color w:val="FF0000"/>
          <w:sz w:val="20"/>
          <w:szCs w:val="20"/>
          <w:lang w:bidi="ar-SA"/>
        </w:rPr>
        <w:t>[To be completed by Delegate]</w:t>
      </w:r>
    </w:p>
    <w:p w14:paraId="4685C637" w14:textId="77777777" w:rsidR="00DF58C6" w:rsidRPr="00DF58C6" w:rsidRDefault="00DF58C6" w:rsidP="00DF58C6">
      <w:pPr>
        <w:tabs>
          <w:tab w:val="left" w:pos="851"/>
        </w:tabs>
        <w:rPr>
          <w:sz w:val="20"/>
          <w:szCs w:val="20"/>
          <w:lang w:bidi="ar-SA"/>
        </w:rPr>
      </w:pPr>
    </w:p>
    <w:p w14:paraId="15120B24" w14:textId="77777777" w:rsidR="00DF58C6" w:rsidRPr="00DF58C6" w:rsidRDefault="00DF58C6" w:rsidP="00DF58C6">
      <w:pPr>
        <w:tabs>
          <w:tab w:val="left" w:pos="851"/>
        </w:tabs>
        <w:rPr>
          <w:sz w:val="20"/>
          <w:szCs w:val="20"/>
          <w:lang w:bidi="ar-SA"/>
        </w:rPr>
      </w:pPr>
    </w:p>
    <w:p w14:paraId="704231C7" w14:textId="77777777" w:rsidR="00DF58C6" w:rsidRPr="00DF58C6" w:rsidRDefault="00DF58C6" w:rsidP="00DF58C6">
      <w:pPr>
        <w:tabs>
          <w:tab w:val="left" w:pos="851"/>
        </w:tabs>
        <w:rPr>
          <w:sz w:val="20"/>
          <w:szCs w:val="20"/>
          <w:lang w:bidi="ar-SA"/>
        </w:rPr>
      </w:pPr>
    </w:p>
    <w:p w14:paraId="367C86FF" w14:textId="77777777" w:rsidR="00DF58C6" w:rsidRPr="00DF58C6" w:rsidRDefault="00DF58C6" w:rsidP="00DF58C6">
      <w:pPr>
        <w:tabs>
          <w:tab w:val="left" w:pos="851"/>
        </w:tabs>
        <w:rPr>
          <w:sz w:val="20"/>
          <w:szCs w:val="20"/>
          <w:lang w:bidi="ar-SA"/>
        </w:rPr>
      </w:pPr>
    </w:p>
    <w:p w14:paraId="6253A719" w14:textId="77777777" w:rsidR="00DF58C6" w:rsidRPr="00DF58C6" w:rsidRDefault="00DF58C6" w:rsidP="00DF58C6">
      <w:pPr>
        <w:tabs>
          <w:tab w:val="left" w:pos="851"/>
        </w:tabs>
        <w:rPr>
          <w:sz w:val="20"/>
          <w:szCs w:val="20"/>
          <w:lang w:bidi="ar-SA"/>
        </w:rPr>
      </w:pPr>
    </w:p>
    <w:p w14:paraId="3E3E4858" w14:textId="77777777" w:rsidR="00DF58C6" w:rsidRPr="00DF58C6" w:rsidRDefault="00DF58C6" w:rsidP="00DF58C6">
      <w:pPr>
        <w:tabs>
          <w:tab w:val="left" w:pos="851"/>
        </w:tabs>
        <w:rPr>
          <w:color w:val="FF0000"/>
          <w:sz w:val="20"/>
          <w:szCs w:val="20"/>
          <w:lang w:bidi="ar-SA"/>
        </w:rPr>
      </w:pPr>
      <w:r w:rsidRPr="00DF58C6">
        <w:rPr>
          <w:color w:val="FF0000"/>
          <w:sz w:val="20"/>
          <w:szCs w:val="20"/>
          <w:lang w:bidi="ar-SA"/>
        </w:rPr>
        <w:t>[Insert name of Delegate]</w:t>
      </w:r>
    </w:p>
    <w:p w14:paraId="766A1EC6" w14:textId="77777777" w:rsidR="00DF58C6" w:rsidRPr="00DF58C6" w:rsidRDefault="00DF58C6" w:rsidP="00DF58C6">
      <w:pPr>
        <w:tabs>
          <w:tab w:val="left" w:pos="851"/>
        </w:tabs>
        <w:rPr>
          <w:sz w:val="20"/>
          <w:szCs w:val="20"/>
          <w:lang w:bidi="ar-SA"/>
        </w:rPr>
      </w:pPr>
      <w:r w:rsidRPr="00DF58C6">
        <w:rPr>
          <w:sz w:val="20"/>
          <w:szCs w:val="20"/>
          <w:lang w:bidi="ar-SA"/>
        </w:rPr>
        <w:t>Delegate of the Board of Food Standards Australia New Zealand</w:t>
      </w:r>
    </w:p>
    <w:p w14:paraId="602B84B8" w14:textId="77777777" w:rsidR="00DF58C6" w:rsidRPr="00DF58C6" w:rsidRDefault="00DF58C6" w:rsidP="00DF58C6">
      <w:pPr>
        <w:tabs>
          <w:tab w:val="left" w:pos="851"/>
        </w:tabs>
        <w:rPr>
          <w:sz w:val="20"/>
          <w:szCs w:val="20"/>
          <w:lang w:bidi="ar-SA"/>
        </w:rPr>
      </w:pPr>
    </w:p>
    <w:p w14:paraId="008F6B2D" w14:textId="77777777" w:rsidR="00DF58C6" w:rsidRPr="00DF58C6" w:rsidRDefault="00DF58C6" w:rsidP="00DF58C6">
      <w:pPr>
        <w:tabs>
          <w:tab w:val="left" w:pos="851"/>
        </w:tabs>
        <w:rPr>
          <w:sz w:val="20"/>
          <w:szCs w:val="20"/>
          <w:lang w:bidi="ar-SA"/>
        </w:rPr>
      </w:pPr>
    </w:p>
    <w:p w14:paraId="190F5925" w14:textId="77777777" w:rsidR="00DF58C6" w:rsidRPr="00DF58C6" w:rsidRDefault="00DF58C6" w:rsidP="00DF58C6">
      <w:pPr>
        <w:tabs>
          <w:tab w:val="left" w:pos="851"/>
        </w:tabs>
        <w:rPr>
          <w:sz w:val="20"/>
          <w:szCs w:val="20"/>
          <w:lang w:bidi="ar-SA"/>
        </w:rPr>
      </w:pPr>
    </w:p>
    <w:p w14:paraId="7CDB91F7" w14:textId="77777777" w:rsidR="00DF58C6" w:rsidRPr="00DF58C6" w:rsidRDefault="00DF58C6" w:rsidP="00DF58C6">
      <w:pPr>
        <w:tabs>
          <w:tab w:val="left" w:pos="851"/>
        </w:tabs>
        <w:rPr>
          <w:sz w:val="20"/>
          <w:szCs w:val="20"/>
          <w:lang w:bidi="ar-SA"/>
        </w:rPr>
      </w:pPr>
    </w:p>
    <w:p w14:paraId="0E7BBEE9" w14:textId="77777777" w:rsidR="00DF58C6" w:rsidRPr="00DF58C6" w:rsidRDefault="00DF58C6" w:rsidP="00DF58C6">
      <w:pPr>
        <w:tabs>
          <w:tab w:val="left" w:pos="851"/>
        </w:tabs>
        <w:rPr>
          <w:sz w:val="20"/>
          <w:szCs w:val="20"/>
          <w:lang w:bidi="ar-SA"/>
        </w:rPr>
      </w:pPr>
    </w:p>
    <w:p w14:paraId="3C57AA6A" w14:textId="77777777" w:rsidR="00DF58C6" w:rsidRPr="00DF58C6" w:rsidRDefault="00DF58C6" w:rsidP="00DF58C6">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DF58C6">
        <w:rPr>
          <w:b/>
          <w:sz w:val="20"/>
          <w:szCs w:val="20"/>
          <w:lang w:val="en-AU" w:bidi="ar-SA"/>
        </w:rPr>
        <w:t xml:space="preserve">Note:  </w:t>
      </w:r>
    </w:p>
    <w:p w14:paraId="0A318013" w14:textId="77777777" w:rsidR="00DF58C6" w:rsidRPr="00DF58C6" w:rsidRDefault="00DF58C6" w:rsidP="00DF58C6">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280B0B08" w14:textId="77777777" w:rsidR="00DF58C6" w:rsidRPr="00DF58C6" w:rsidRDefault="00DF58C6" w:rsidP="00DF58C6">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DF58C6">
        <w:rPr>
          <w:sz w:val="20"/>
          <w:szCs w:val="20"/>
          <w:lang w:val="en-AU" w:bidi="ar-SA"/>
        </w:rPr>
        <w:t xml:space="preserve">This variation will be published in the Commonwealth of Australia Gazette No. FSC </w:t>
      </w:r>
      <w:r w:rsidRPr="00DF58C6">
        <w:rPr>
          <w:color w:val="FF0000"/>
          <w:sz w:val="20"/>
          <w:szCs w:val="20"/>
          <w:lang w:val="en-AU" w:bidi="ar-SA"/>
        </w:rPr>
        <w:t>XX on XX Month 20XX</w:t>
      </w:r>
      <w:r w:rsidRPr="00DF58C6">
        <w:rPr>
          <w:sz w:val="20"/>
          <w:szCs w:val="20"/>
          <w:lang w:val="en-AU" w:bidi="ar-SA"/>
        </w:rPr>
        <w:t xml:space="preserve">. This means that this date is the gazettal date for the purposes of clause 3 of the variation. </w:t>
      </w:r>
    </w:p>
    <w:p w14:paraId="4AB2F93D" w14:textId="77777777" w:rsidR="00DF58C6" w:rsidRPr="00DF58C6" w:rsidRDefault="00DF58C6" w:rsidP="00DF58C6">
      <w:pPr>
        <w:tabs>
          <w:tab w:val="left" w:pos="851"/>
        </w:tabs>
        <w:rPr>
          <w:sz w:val="20"/>
          <w:szCs w:val="20"/>
          <w:lang w:bidi="ar-SA"/>
        </w:rPr>
      </w:pPr>
    </w:p>
    <w:p w14:paraId="4F107000" w14:textId="77777777" w:rsidR="00DF58C6" w:rsidRPr="00DF58C6" w:rsidRDefault="00DF58C6" w:rsidP="00DF58C6">
      <w:pPr>
        <w:widowControl/>
        <w:rPr>
          <w:sz w:val="20"/>
          <w:szCs w:val="20"/>
          <w:lang w:bidi="ar-SA"/>
        </w:rPr>
      </w:pPr>
      <w:r w:rsidRPr="00DF58C6">
        <w:rPr>
          <w:sz w:val="20"/>
          <w:szCs w:val="20"/>
          <w:lang w:bidi="ar-SA"/>
        </w:rPr>
        <w:br w:type="page"/>
      </w:r>
    </w:p>
    <w:p w14:paraId="44A59DD8" w14:textId="77777777" w:rsidR="00DF58C6" w:rsidRPr="00DF58C6" w:rsidRDefault="00DF58C6" w:rsidP="00502635">
      <w:pPr>
        <w:pStyle w:val="FSCDraftingitemheading"/>
      </w:pPr>
      <w:r w:rsidRPr="00DF58C6">
        <w:lastRenderedPageBreak/>
        <w:t>1</w:t>
      </w:r>
      <w:r w:rsidRPr="00DF58C6">
        <w:tab/>
        <w:t>Name</w:t>
      </w:r>
    </w:p>
    <w:p w14:paraId="20A54C40" w14:textId="77777777" w:rsidR="00DF58C6" w:rsidRPr="00DF58C6" w:rsidRDefault="00DF58C6" w:rsidP="00502635">
      <w:pPr>
        <w:pStyle w:val="FSCDraftingitem"/>
      </w:pPr>
      <w:r w:rsidRPr="00DF58C6">
        <w:t xml:space="preserve">This instrument is the </w:t>
      </w:r>
      <w:r w:rsidRPr="00502635">
        <w:rPr>
          <w:i/>
          <w:iCs/>
        </w:rPr>
        <w:t>Food Standards (Proposal P1061 – Code Revision (2023)) Variation</w:t>
      </w:r>
      <w:r w:rsidRPr="00DF58C6">
        <w:t>.</w:t>
      </w:r>
    </w:p>
    <w:p w14:paraId="006AF27E" w14:textId="77777777" w:rsidR="00DF58C6" w:rsidRPr="00DF58C6" w:rsidRDefault="00DF58C6" w:rsidP="007F2C1B">
      <w:pPr>
        <w:pStyle w:val="FSCDraftingitemheading"/>
      </w:pPr>
      <w:r w:rsidRPr="00DF58C6">
        <w:t>2</w:t>
      </w:r>
      <w:r w:rsidRPr="00DF58C6">
        <w:tab/>
        <w:t xml:space="preserve">Variation to Standards in the </w:t>
      </w:r>
      <w:r w:rsidRPr="007F2C1B">
        <w:rPr>
          <w:i/>
          <w:iCs/>
        </w:rPr>
        <w:t>Australia New Zealand Food Standards Code</w:t>
      </w:r>
    </w:p>
    <w:p w14:paraId="21E58AF1" w14:textId="77777777" w:rsidR="00DF58C6" w:rsidRPr="00DF58C6" w:rsidRDefault="00DF58C6" w:rsidP="007F2C1B">
      <w:pPr>
        <w:pStyle w:val="FSCDraftingitem"/>
      </w:pPr>
      <w:r w:rsidRPr="00DF58C6">
        <w:t xml:space="preserve">The Schedule varies Standards in the </w:t>
      </w:r>
      <w:r w:rsidRPr="007F2C1B">
        <w:rPr>
          <w:i/>
          <w:iCs/>
        </w:rPr>
        <w:t>Australia New Zealand Food Standards Code</w:t>
      </w:r>
      <w:r w:rsidRPr="00DF58C6">
        <w:t>.</w:t>
      </w:r>
    </w:p>
    <w:p w14:paraId="7E0FF7BF" w14:textId="77777777" w:rsidR="00DF58C6" w:rsidRPr="00DF58C6" w:rsidRDefault="00DF58C6" w:rsidP="00075F5B">
      <w:pPr>
        <w:pStyle w:val="FSCDraftingitemheading"/>
      </w:pPr>
      <w:r w:rsidRPr="00DF58C6">
        <w:t>3</w:t>
      </w:r>
      <w:r w:rsidRPr="00DF58C6">
        <w:tab/>
        <w:t>Commencement</w:t>
      </w:r>
    </w:p>
    <w:p w14:paraId="45A04892" w14:textId="77777777" w:rsidR="00DF58C6" w:rsidRPr="00DF58C6" w:rsidRDefault="00DF58C6" w:rsidP="00075F5B">
      <w:pPr>
        <w:pStyle w:val="FSCDraftingitem"/>
      </w:pPr>
      <w:r w:rsidRPr="00DF58C6">
        <w:t>The variation commences on the date of gazettal.</w:t>
      </w:r>
    </w:p>
    <w:p w14:paraId="310CD3BE" w14:textId="77777777" w:rsidR="00DF58C6" w:rsidRPr="00DF58C6" w:rsidRDefault="00DF58C6" w:rsidP="00DF58C6">
      <w:pPr>
        <w:tabs>
          <w:tab w:val="left" w:pos="851"/>
        </w:tabs>
        <w:jc w:val="center"/>
        <w:rPr>
          <w:b/>
          <w:sz w:val="20"/>
          <w:szCs w:val="20"/>
          <w:lang w:bidi="ar-SA"/>
        </w:rPr>
      </w:pPr>
      <w:r w:rsidRPr="00DF58C6">
        <w:rPr>
          <w:b/>
          <w:sz w:val="20"/>
          <w:szCs w:val="20"/>
          <w:lang w:bidi="ar-SA"/>
        </w:rPr>
        <w:t>Schedule</w:t>
      </w:r>
    </w:p>
    <w:p w14:paraId="5423FD88" w14:textId="77777777" w:rsidR="00DF58C6" w:rsidRPr="00DF58C6" w:rsidRDefault="00DF58C6" w:rsidP="00075F5B">
      <w:pPr>
        <w:pStyle w:val="FSCDraftingitemheading"/>
        <w:rPr>
          <w:lang w:eastAsia="en-AU"/>
        </w:rPr>
      </w:pPr>
      <w:r w:rsidRPr="00DF58C6">
        <w:rPr>
          <w:lang w:eastAsia="en-AU"/>
        </w:rPr>
        <w:t xml:space="preserve">Standard 1.1.1 – </w:t>
      </w:r>
      <w:r w:rsidRPr="00DF58C6">
        <w:t>Structure</w:t>
      </w:r>
      <w:r w:rsidRPr="00DF58C6">
        <w:rPr>
          <w:lang w:eastAsia="en-AU"/>
        </w:rPr>
        <w:t xml:space="preserve"> of the Code and general provisions </w:t>
      </w:r>
    </w:p>
    <w:p w14:paraId="03C23EA0" w14:textId="77777777" w:rsidR="00DF58C6" w:rsidRPr="00DF58C6" w:rsidRDefault="00DF58C6" w:rsidP="00075F5B">
      <w:pPr>
        <w:pStyle w:val="FSCDraftingitemheading"/>
      </w:pPr>
      <w:r w:rsidRPr="00DF58C6">
        <w:t>[1]</w:t>
      </w:r>
      <w:r w:rsidRPr="00DF58C6">
        <w:tab/>
        <w:t>Section 1.1.1—3 (Note 1, subparagraph (iii))</w:t>
      </w:r>
    </w:p>
    <w:p w14:paraId="4DE92909" w14:textId="4752A16F" w:rsidR="00DF58C6" w:rsidRPr="00DF58C6" w:rsidRDefault="00DF58C6" w:rsidP="00075F5B">
      <w:pPr>
        <w:pStyle w:val="FSCDraftingitem"/>
      </w:pPr>
      <w:r w:rsidRPr="00DF58C6">
        <w:tab/>
        <w:t>Repeal the subparagraph, substitute</w:t>
      </w:r>
      <w:r w:rsidR="00E54109">
        <w:t>:</w:t>
      </w:r>
    </w:p>
    <w:p w14:paraId="04D81EDB" w14:textId="77777777" w:rsidR="00DF58C6" w:rsidRPr="00DF58C6" w:rsidRDefault="00DF58C6" w:rsidP="00075F5B">
      <w:pPr>
        <w:pStyle w:val="FSCnSubpara"/>
      </w:pPr>
      <w:r w:rsidRPr="00DF58C6">
        <w:tab/>
        <w:t xml:space="preserve">        (iii)   section 2.1.1—5 (requirement for </w:t>
      </w:r>
      <w:proofErr w:type="spellStart"/>
      <w:r w:rsidRPr="00DF58C6">
        <w:t>thiamin</w:t>
      </w:r>
      <w:proofErr w:type="spellEnd"/>
      <w:r w:rsidRPr="00DF58C6">
        <w:t xml:space="preserve"> in bread);</w:t>
      </w:r>
    </w:p>
    <w:p w14:paraId="72247034" w14:textId="77777777" w:rsidR="00DF58C6" w:rsidRPr="00DF58C6" w:rsidRDefault="00DF58C6" w:rsidP="00DF58C6">
      <w:pPr>
        <w:spacing w:before="120" w:after="120"/>
        <w:ind w:left="851" w:hanging="851"/>
        <w:rPr>
          <w:b/>
          <w:sz w:val="20"/>
          <w:szCs w:val="20"/>
          <w:lang w:bidi="ar-SA"/>
        </w:rPr>
      </w:pPr>
    </w:p>
    <w:p w14:paraId="7AF16104" w14:textId="77777777" w:rsidR="00DF58C6" w:rsidRPr="00DF58C6" w:rsidRDefault="00DF58C6" w:rsidP="00AB4561">
      <w:pPr>
        <w:pStyle w:val="FSCDraftingitemheading"/>
        <w:rPr>
          <w:b w:val="0"/>
        </w:rPr>
      </w:pPr>
      <w:r w:rsidRPr="00DF58C6">
        <w:t>[2]</w:t>
      </w:r>
      <w:r w:rsidRPr="00DF58C6">
        <w:tab/>
        <w:t>Paragraph 1.1.1—5(1)(b)</w:t>
      </w:r>
    </w:p>
    <w:p w14:paraId="1923C679" w14:textId="77777777" w:rsidR="00DF58C6" w:rsidRPr="00DF58C6" w:rsidRDefault="00DF58C6" w:rsidP="00075F5B">
      <w:pPr>
        <w:pStyle w:val="FSCDraftingitem"/>
      </w:pPr>
      <w:r w:rsidRPr="00DF58C6">
        <w:tab/>
        <w:t>Omit “2019”, substitute “2022”</w:t>
      </w:r>
    </w:p>
    <w:p w14:paraId="0C81D8B7" w14:textId="77777777" w:rsidR="00DF58C6" w:rsidRPr="00DF58C6" w:rsidRDefault="00DF58C6" w:rsidP="00DF58C6">
      <w:pPr>
        <w:widowControl/>
        <w:tabs>
          <w:tab w:val="left" w:pos="851"/>
        </w:tabs>
        <w:spacing w:before="120" w:after="120"/>
        <w:rPr>
          <w:sz w:val="20"/>
          <w:szCs w:val="20"/>
          <w:lang w:bidi="ar-SA"/>
        </w:rPr>
      </w:pPr>
    </w:p>
    <w:p w14:paraId="6C63A644" w14:textId="77777777" w:rsidR="00DF58C6" w:rsidRPr="00FE754B" w:rsidRDefault="00DF58C6" w:rsidP="00FE754B">
      <w:pPr>
        <w:pStyle w:val="FSCDraftingitemheading"/>
      </w:pPr>
      <w:r w:rsidRPr="00DF58C6">
        <w:t>Standard 1.1.2 Definitions used throughout the Code</w:t>
      </w:r>
    </w:p>
    <w:p w14:paraId="45EE6AF9" w14:textId="77777777" w:rsidR="00DF58C6" w:rsidRPr="00FE754B" w:rsidRDefault="00DF58C6" w:rsidP="00FE754B">
      <w:pPr>
        <w:pStyle w:val="FSCDraftingitemheading"/>
      </w:pPr>
      <w:r w:rsidRPr="00DF58C6">
        <w:t>[3]</w:t>
      </w:r>
      <w:r w:rsidRPr="00DF58C6">
        <w:tab/>
        <w:t>Subsection 1.1.2—2(3) (subparagraph (a)(</w:t>
      </w:r>
      <w:proofErr w:type="spellStart"/>
      <w:r w:rsidRPr="00DF58C6">
        <w:t>i</w:t>
      </w:r>
      <w:proofErr w:type="spellEnd"/>
      <w:r w:rsidRPr="00DF58C6">
        <w:t xml:space="preserve">) of the definition of </w:t>
      </w:r>
      <w:r w:rsidRPr="00FE754B">
        <w:rPr>
          <w:i/>
          <w:iCs/>
        </w:rPr>
        <w:t>permitted flavouring substance</w:t>
      </w:r>
      <w:r w:rsidRPr="00DF58C6">
        <w:t>)</w:t>
      </w:r>
    </w:p>
    <w:p w14:paraId="668ABE6D" w14:textId="4807FD82" w:rsidR="00DF58C6" w:rsidRPr="00DF58C6" w:rsidRDefault="00DF58C6" w:rsidP="00F57EF6">
      <w:pPr>
        <w:pStyle w:val="FSCDraftingitem"/>
      </w:pPr>
      <w:r w:rsidRPr="00DF58C6">
        <w:tab/>
        <w:t>Repeal the subparagraph, substitute</w:t>
      </w:r>
      <w:r w:rsidR="00E54109">
        <w:t>:</w:t>
      </w:r>
    </w:p>
    <w:p w14:paraId="73B851FB" w14:textId="5BE3DB73" w:rsidR="00DF58C6" w:rsidRPr="00DF58C6" w:rsidRDefault="00DF58C6" w:rsidP="00A16BE7">
      <w:pPr>
        <w:pStyle w:val="FSCtDefn"/>
        <w:ind w:left="3401" w:hanging="1700"/>
      </w:pPr>
      <w:r w:rsidRPr="00DF58C6">
        <w:t xml:space="preserve">        </w:t>
      </w:r>
      <w:r w:rsidR="00390DBD">
        <w:t xml:space="preserve">          </w:t>
      </w:r>
      <w:r w:rsidRPr="00DF58C6">
        <w:t>(</w:t>
      </w:r>
      <w:proofErr w:type="spellStart"/>
      <w:r w:rsidRPr="00DF58C6">
        <w:t>i</w:t>
      </w:r>
      <w:proofErr w:type="spellEnd"/>
      <w:r w:rsidRPr="00DF58C6">
        <w:t>)</w:t>
      </w:r>
      <w:r w:rsidRPr="00DF58C6">
        <w:tab/>
        <w:t xml:space="preserve">Generally Recognised as Safe (GRAS) lists of flavouring </w:t>
      </w:r>
      <w:r w:rsidR="00A16BE7">
        <w:t xml:space="preserve">  </w:t>
      </w:r>
      <w:r w:rsidRPr="00DF58C6">
        <w:t>substances published by the Flavour and Extract</w:t>
      </w:r>
      <w:r w:rsidR="00AB4561">
        <w:t xml:space="preserve"> </w:t>
      </w:r>
      <w:r w:rsidRPr="00DF58C6">
        <w:t>Manufacturers’ Association of the United States from 1960 to 2022 (edition 30);</w:t>
      </w:r>
    </w:p>
    <w:p w14:paraId="012E0A17" w14:textId="77777777" w:rsidR="00DF58C6" w:rsidRPr="00DF58C6" w:rsidRDefault="00DF58C6" w:rsidP="00DF58C6">
      <w:pPr>
        <w:spacing w:before="120" w:after="120"/>
        <w:ind w:left="851" w:hanging="851"/>
        <w:rPr>
          <w:b/>
          <w:sz w:val="20"/>
          <w:szCs w:val="20"/>
          <w:lang w:bidi="ar-SA"/>
        </w:rPr>
      </w:pPr>
    </w:p>
    <w:p w14:paraId="5E45CA3A" w14:textId="77777777" w:rsidR="00DF58C6" w:rsidRPr="0028661A" w:rsidRDefault="00DF58C6" w:rsidP="0028661A">
      <w:pPr>
        <w:pStyle w:val="FSCDraftingitemheading"/>
      </w:pPr>
      <w:r w:rsidRPr="00DF58C6">
        <w:t>Standard 1.3.3</w:t>
      </w:r>
      <w:r w:rsidRPr="00DF58C6">
        <w:tab/>
        <w:t>Processing aids</w:t>
      </w:r>
    </w:p>
    <w:p w14:paraId="366C03EA" w14:textId="77777777" w:rsidR="00DF58C6" w:rsidRPr="0028661A" w:rsidRDefault="00DF58C6" w:rsidP="0028661A">
      <w:pPr>
        <w:pStyle w:val="FSCDraftingitemheading"/>
      </w:pPr>
      <w:r w:rsidRPr="00DF58C6">
        <w:t>[4]</w:t>
      </w:r>
      <w:r w:rsidRPr="00DF58C6">
        <w:tab/>
      </w:r>
      <w:bookmarkStart w:id="107" w:name="_Hlk120632227"/>
      <w:r w:rsidRPr="00DF58C6">
        <w:t xml:space="preserve">Section 1.3.3—13 </w:t>
      </w:r>
      <w:bookmarkEnd w:id="107"/>
    </w:p>
    <w:p w14:paraId="68DEFC13" w14:textId="77777777" w:rsidR="00DF58C6" w:rsidRPr="00DF58C6" w:rsidRDefault="00DF58C6" w:rsidP="0028661A">
      <w:pPr>
        <w:pStyle w:val="FSCDraftingitem"/>
      </w:pPr>
      <w:r w:rsidRPr="00DF58C6">
        <w:tab/>
        <w:t>Omit “anti-microbial” wherever occurring, substitute “antimicrobial”</w:t>
      </w:r>
    </w:p>
    <w:p w14:paraId="4D795D76" w14:textId="77777777" w:rsidR="00DF58C6" w:rsidRPr="00DF58C6" w:rsidRDefault="00DF58C6" w:rsidP="00DF58C6">
      <w:pPr>
        <w:spacing w:before="120" w:after="120"/>
        <w:ind w:left="851" w:hanging="851"/>
        <w:rPr>
          <w:b/>
          <w:sz w:val="20"/>
          <w:szCs w:val="20"/>
          <w:lang w:bidi="ar-SA"/>
        </w:rPr>
      </w:pPr>
    </w:p>
    <w:p w14:paraId="44035BAC" w14:textId="77777777" w:rsidR="00DF58C6" w:rsidRPr="0028661A" w:rsidRDefault="00DF58C6" w:rsidP="0028661A">
      <w:pPr>
        <w:pStyle w:val="FSCDraftingitemheading"/>
      </w:pPr>
      <w:r w:rsidRPr="00DF58C6">
        <w:t>Standard 2.1.1 Cereal and cereal products</w:t>
      </w:r>
    </w:p>
    <w:p w14:paraId="4FE0AD3A" w14:textId="77777777" w:rsidR="00DF58C6" w:rsidRPr="00DF58C6" w:rsidRDefault="00DF58C6" w:rsidP="0028661A">
      <w:pPr>
        <w:pStyle w:val="FSCDraftingitemheading"/>
        <w:rPr>
          <w:b w:val="0"/>
        </w:rPr>
      </w:pPr>
      <w:r w:rsidRPr="00DF58C6">
        <w:t>[5]</w:t>
      </w:r>
      <w:r w:rsidRPr="00DF58C6">
        <w:tab/>
        <w:t>Section 2.1.1—5 (note)</w:t>
      </w:r>
    </w:p>
    <w:p w14:paraId="79625871" w14:textId="77777777" w:rsidR="00DF58C6" w:rsidRPr="00DF58C6" w:rsidRDefault="00DF58C6" w:rsidP="0028661A">
      <w:pPr>
        <w:pStyle w:val="FSCDraftingitem"/>
      </w:pPr>
      <w:r w:rsidRPr="00DF58C6">
        <w:tab/>
        <w:t>Repeal the note.</w:t>
      </w:r>
    </w:p>
    <w:p w14:paraId="4CE7E71A" w14:textId="77777777" w:rsidR="00DF58C6" w:rsidRPr="00DF58C6" w:rsidRDefault="00DF58C6" w:rsidP="00DF58C6">
      <w:pPr>
        <w:spacing w:before="120" w:after="120"/>
        <w:ind w:left="851" w:hanging="851"/>
        <w:rPr>
          <w:b/>
          <w:sz w:val="20"/>
          <w:szCs w:val="20"/>
          <w:lang w:bidi="ar-SA"/>
        </w:rPr>
      </w:pPr>
    </w:p>
    <w:p w14:paraId="7799BA9E" w14:textId="77777777" w:rsidR="00DF58C6" w:rsidRPr="00DF58C6" w:rsidRDefault="00DF58C6" w:rsidP="00840F0C">
      <w:pPr>
        <w:pStyle w:val="FSCDraftingitemheading"/>
        <w:rPr>
          <w:b w:val="0"/>
        </w:rPr>
      </w:pPr>
      <w:r w:rsidRPr="00DF58C6">
        <w:t>[6]</w:t>
      </w:r>
      <w:r w:rsidRPr="00DF58C6">
        <w:tab/>
        <w:t xml:space="preserve">At the end of </w:t>
      </w:r>
      <w:bookmarkStart w:id="108" w:name="_Hlk112172222"/>
      <w:r w:rsidRPr="00DF58C6">
        <w:t>paragraph 2.1.1—5(b)</w:t>
      </w:r>
      <w:bookmarkEnd w:id="108"/>
    </w:p>
    <w:p w14:paraId="5F9927FF" w14:textId="77777777" w:rsidR="00DF58C6" w:rsidRPr="00DF58C6" w:rsidRDefault="00DF58C6" w:rsidP="00840F0C">
      <w:pPr>
        <w:pStyle w:val="FSCDraftingitem"/>
      </w:pPr>
      <w:r w:rsidRPr="00DF58C6">
        <w:tab/>
        <w:t>Add:</w:t>
      </w:r>
    </w:p>
    <w:p w14:paraId="11A0515C" w14:textId="77777777" w:rsidR="00DF58C6" w:rsidRPr="00DF58C6" w:rsidRDefault="00DF58C6" w:rsidP="00324F7C">
      <w:pPr>
        <w:pStyle w:val="FSCnPara"/>
        <w:rPr>
          <w:sz w:val="20"/>
        </w:rPr>
      </w:pPr>
      <w:r w:rsidRPr="00DF58C6">
        <w:rPr>
          <w:sz w:val="20"/>
        </w:rPr>
        <w:tab/>
      </w:r>
      <w:r w:rsidRPr="00DF58C6">
        <w:rPr>
          <w:sz w:val="20"/>
        </w:rPr>
        <w:tab/>
      </w:r>
      <w:r w:rsidRPr="00DF58C6">
        <w:rPr>
          <w:b/>
          <w:bCs/>
          <w:i/>
        </w:rPr>
        <w:t xml:space="preserve">Note </w:t>
      </w:r>
      <w:r w:rsidRPr="00DF58C6">
        <w:t>Paragraph 2.1.1—5(b) applies in Australia only.</w:t>
      </w:r>
      <w:r w:rsidRPr="00DF58C6">
        <w:rPr>
          <w:sz w:val="20"/>
        </w:rPr>
        <w:tab/>
      </w:r>
    </w:p>
    <w:p w14:paraId="4E5DE33A" w14:textId="77777777" w:rsidR="00DF58C6" w:rsidRPr="00DF58C6" w:rsidRDefault="00DF58C6" w:rsidP="00DF58C6">
      <w:pPr>
        <w:spacing w:before="120" w:after="120"/>
        <w:ind w:left="851" w:hanging="851"/>
        <w:rPr>
          <w:b/>
          <w:sz w:val="20"/>
          <w:szCs w:val="20"/>
          <w:lang w:bidi="ar-SA"/>
        </w:rPr>
      </w:pPr>
    </w:p>
    <w:p w14:paraId="02E319BE" w14:textId="77777777" w:rsidR="00DF58C6" w:rsidRPr="00324F7C" w:rsidRDefault="00DF58C6" w:rsidP="00324F7C">
      <w:pPr>
        <w:pStyle w:val="FSCDraftingitemheading"/>
      </w:pPr>
      <w:r w:rsidRPr="00DF58C6">
        <w:t>Standard 2.2.3</w:t>
      </w:r>
      <w:r w:rsidRPr="00DF58C6">
        <w:tab/>
        <w:t>Fish and fish products</w:t>
      </w:r>
    </w:p>
    <w:p w14:paraId="5D5F3030" w14:textId="77777777" w:rsidR="00DF58C6" w:rsidRPr="00324F7C" w:rsidRDefault="00DF58C6" w:rsidP="00324F7C">
      <w:pPr>
        <w:pStyle w:val="FSCDraftingitemheading"/>
      </w:pPr>
      <w:r w:rsidRPr="00DF58C6">
        <w:t>[7]</w:t>
      </w:r>
      <w:r w:rsidRPr="00DF58C6">
        <w:tab/>
      </w:r>
      <w:bookmarkStart w:id="109" w:name="_Hlk120635133"/>
      <w:r w:rsidRPr="00DF58C6">
        <w:t>Note 3</w:t>
      </w:r>
      <w:bookmarkEnd w:id="109"/>
    </w:p>
    <w:p w14:paraId="27C89B0D" w14:textId="77777777" w:rsidR="00DF58C6" w:rsidRPr="00DF58C6" w:rsidRDefault="00DF58C6" w:rsidP="00324F7C">
      <w:pPr>
        <w:pStyle w:val="FSCDraftingitem"/>
      </w:pPr>
      <w:r w:rsidRPr="00DF58C6">
        <w:t>Repeal the note, substitute:</w:t>
      </w:r>
    </w:p>
    <w:p w14:paraId="5026AB4C" w14:textId="0090A30E" w:rsidR="00402FBF" w:rsidRDefault="00B03C87" w:rsidP="00C72D39">
      <w:pPr>
        <w:pStyle w:val="FSCnMain"/>
        <w:tabs>
          <w:tab w:val="clear" w:pos="1701"/>
        </w:tabs>
        <w:ind w:left="851" w:hanging="851"/>
      </w:pPr>
      <w:r w:rsidRPr="00B03C87">
        <w:rPr>
          <w:b/>
          <w:bCs/>
          <w:i/>
          <w:iCs/>
        </w:rPr>
        <w:t>Note 3</w:t>
      </w:r>
      <w:r w:rsidR="0011038F">
        <w:rPr>
          <w:b/>
          <w:bCs/>
          <w:i/>
        </w:rPr>
        <w:tab/>
      </w:r>
      <w:r w:rsidR="00DF58C6" w:rsidRPr="00DF58C6">
        <w:t>This Code does not define specific names for fish. The Australian Fish Names Standard (AS 5300) provides guidance on standard fish names to be used in Australi</w:t>
      </w:r>
      <w:r w:rsidR="00D92A33">
        <w:t>a.</w:t>
      </w:r>
    </w:p>
    <w:p w14:paraId="1A4B9C90" w14:textId="2692DD97" w:rsidR="00DF58C6" w:rsidRPr="00402FBF" w:rsidRDefault="00402FBF" w:rsidP="00402FBF">
      <w:pPr>
        <w:pStyle w:val="FSCnMain"/>
        <w:rPr>
          <w:lang w:val="en-AU"/>
        </w:rPr>
      </w:pPr>
      <w:r>
        <w:lastRenderedPageBreak/>
        <w:tab/>
      </w:r>
      <w:r w:rsidR="00DF58C6" w:rsidRPr="00DF58C6">
        <w:t xml:space="preserve">1.          </w:t>
      </w:r>
      <w:r w:rsidR="00CE1D53">
        <w:t>Copies of t</w:t>
      </w:r>
      <w:r w:rsidR="00DF58C6" w:rsidRPr="00DF58C6">
        <w:t xml:space="preserve">he Standard </w:t>
      </w:r>
      <w:r w:rsidR="00062B79">
        <w:t>may be purchased</w:t>
      </w:r>
      <w:r w:rsidR="00DF58C6" w:rsidRPr="00DF58C6">
        <w:t xml:space="preserve"> at </w:t>
      </w:r>
      <w:hyperlink r:id="rId21" w:history="1">
        <w:r w:rsidRPr="00172258">
          <w:rPr>
            <w:rStyle w:val="Hyperlink"/>
            <w:szCs w:val="16"/>
          </w:rPr>
          <w:t>https://infostore.saiglobal.com/en-au/standards/as-5300-2019-111200_saig_as_as_2741382/</w:t>
        </w:r>
      </w:hyperlink>
      <w:r w:rsidR="00DF58C6" w:rsidRPr="00DF58C6">
        <w:t>.</w:t>
      </w:r>
    </w:p>
    <w:p w14:paraId="10B167FF" w14:textId="2EEE49BF" w:rsidR="00BD00FA" w:rsidRDefault="00DF58C6" w:rsidP="00257B74">
      <w:pPr>
        <w:pStyle w:val="FSCnMain"/>
      </w:pPr>
      <w:r w:rsidRPr="00DF58C6">
        <w:t xml:space="preserve">                                      2.          </w:t>
      </w:r>
      <w:r w:rsidR="00BD00FA">
        <w:t>The</w:t>
      </w:r>
      <w:r w:rsidR="00BD00FA" w:rsidRPr="00640796">
        <w:t xml:space="preserve"> Standard</w:t>
      </w:r>
      <w:r w:rsidR="00BD00FA">
        <w:t xml:space="preserve"> </w:t>
      </w:r>
      <w:r w:rsidR="00BD00FA" w:rsidRPr="00640796">
        <w:t>is available for viewing</w:t>
      </w:r>
      <w:r w:rsidR="00BD00FA">
        <w:t>,</w:t>
      </w:r>
      <w:r w:rsidR="00BD00FA" w:rsidRPr="00640796">
        <w:t xml:space="preserve"> at no cost to the user</w:t>
      </w:r>
      <w:r w:rsidR="00BD00FA">
        <w:t xml:space="preserve">, at </w:t>
      </w:r>
      <w:hyperlink r:id="rId22" w:history="1">
        <w:r w:rsidR="00BD00FA" w:rsidRPr="006269F2">
          <w:rPr>
            <w:color w:val="0000FF" w:themeColor="hyperlink"/>
            <w:u w:val="single"/>
          </w:rPr>
          <w:t>http://www.fishnames.com.au</w:t>
        </w:r>
      </w:hyperlink>
      <w:r w:rsidR="00BD00FA" w:rsidRPr="00DF58C6">
        <w:t>.</w:t>
      </w:r>
    </w:p>
    <w:p w14:paraId="61C1EE64" w14:textId="038C4769" w:rsidR="00DF58C6" w:rsidRPr="00DF58C6" w:rsidRDefault="00BD00FA" w:rsidP="00257B74">
      <w:pPr>
        <w:pStyle w:val="FSCnMain"/>
      </w:pPr>
      <w:r>
        <w:tab/>
        <w:t>3.</w:t>
      </w:r>
      <w:r>
        <w:tab/>
      </w:r>
      <w:r w:rsidR="00DF58C6" w:rsidRPr="00DF58C6">
        <w:t>A searchable database of Australian Standard Fish Names is available at </w:t>
      </w:r>
      <w:hyperlink r:id="rId23" w:history="1">
        <w:r w:rsidR="00DF58C6" w:rsidRPr="00DF58C6">
          <w:rPr>
            <w:color w:val="0000FF" w:themeColor="hyperlink"/>
            <w:u w:val="single"/>
          </w:rPr>
          <w:t>http://www.fishnames.com.au</w:t>
        </w:r>
      </w:hyperlink>
      <w:r w:rsidR="00DF58C6" w:rsidRPr="00DF58C6">
        <w:t>.</w:t>
      </w:r>
    </w:p>
    <w:p w14:paraId="67E3675D" w14:textId="5CE7583E" w:rsidR="00DF58C6" w:rsidRPr="00DF58C6" w:rsidRDefault="00DF58C6" w:rsidP="00257B74">
      <w:pPr>
        <w:pStyle w:val="FSCnMain"/>
        <w:rPr>
          <w:u w:val="single"/>
        </w:rPr>
      </w:pPr>
      <w:r w:rsidRPr="00DF58C6">
        <w:tab/>
      </w:r>
      <w:r w:rsidR="00BD00FA">
        <w:t>4</w:t>
      </w:r>
      <w:r w:rsidRPr="00DF58C6">
        <w:t>.</w:t>
      </w:r>
      <w:r w:rsidRPr="00DF58C6">
        <w:tab/>
        <w:t xml:space="preserve">New Zealand common, </w:t>
      </w:r>
      <w:proofErr w:type="spellStart"/>
      <w:r w:rsidRPr="00DF58C6">
        <w:t>Maori</w:t>
      </w:r>
      <w:proofErr w:type="spellEnd"/>
      <w:r w:rsidRPr="00DF58C6">
        <w:t>, and scientific names for fish species are available at </w:t>
      </w:r>
      <w:hyperlink r:id="rId24" w:history="1">
        <w:r w:rsidRPr="00DF58C6">
          <w:rPr>
            <w:color w:val="0000FF" w:themeColor="hyperlink"/>
            <w:u w:val="single"/>
          </w:rPr>
          <w:t>https://www.mpi.govt.nz/food-business/seafood-processing-storage-testing/fish-names-labelling-requirements/</w:t>
        </w:r>
      </w:hyperlink>
      <w:r w:rsidRPr="00DF58C6">
        <w:rPr>
          <w:u w:val="single"/>
        </w:rPr>
        <w:t>.</w:t>
      </w:r>
    </w:p>
    <w:p w14:paraId="1A01505A" w14:textId="77777777" w:rsidR="00DF58C6" w:rsidRPr="00DF58C6" w:rsidRDefault="00DF58C6" w:rsidP="00DF58C6">
      <w:pPr>
        <w:spacing w:before="120" w:after="120"/>
        <w:ind w:left="851" w:hanging="851"/>
        <w:rPr>
          <w:b/>
          <w:sz w:val="20"/>
          <w:szCs w:val="20"/>
          <w:lang w:bidi="ar-SA"/>
        </w:rPr>
      </w:pPr>
    </w:p>
    <w:p w14:paraId="3F743FF2" w14:textId="77777777" w:rsidR="00DF58C6" w:rsidRPr="00C065B6" w:rsidRDefault="00DF58C6" w:rsidP="00C065B6">
      <w:pPr>
        <w:pStyle w:val="FSCDraftingitemheading"/>
      </w:pPr>
      <w:r w:rsidRPr="00DF58C6">
        <w:t>Standard 2.9.1 Infant formula products</w:t>
      </w:r>
    </w:p>
    <w:p w14:paraId="69C60A0B" w14:textId="77777777" w:rsidR="00DF58C6" w:rsidRPr="00DF58C6" w:rsidRDefault="00DF58C6" w:rsidP="00C065B6">
      <w:pPr>
        <w:pStyle w:val="FSCDraftingitemheading"/>
        <w:rPr>
          <w:b w:val="0"/>
        </w:rPr>
      </w:pPr>
      <w:r w:rsidRPr="00DF58C6">
        <w:t>[8]</w:t>
      </w:r>
      <w:r w:rsidRPr="00DF58C6">
        <w:tab/>
        <w:t>Paragraph 2.9.1—24(1)(</w:t>
      </w:r>
      <w:proofErr w:type="spellStart"/>
      <w:r w:rsidRPr="00DF58C6">
        <w:t>cb</w:t>
      </w:r>
      <w:proofErr w:type="spellEnd"/>
      <w:r w:rsidRPr="00DF58C6">
        <w:t>)</w:t>
      </w:r>
    </w:p>
    <w:p w14:paraId="6D7C2DBF" w14:textId="77777777" w:rsidR="00DF58C6" w:rsidRPr="00DF58C6" w:rsidRDefault="00DF58C6" w:rsidP="00C065B6">
      <w:pPr>
        <w:pStyle w:val="FSCDraftingitem"/>
      </w:pPr>
      <w:r w:rsidRPr="00DF58C6">
        <w:tab/>
        <w:t>Repeal the paragraph, substitute:</w:t>
      </w:r>
    </w:p>
    <w:p w14:paraId="4FF3EBDA" w14:textId="7BD763A7" w:rsidR="00DF58C6" w:rsidRPr="00DF58C6" w:rsidRDefault="001A48A0" w:rsidP="001A48A0">
      <w:pPr>
        <w:pStyle w:val="FSCtPara"/>
      </w:pPr>
      <w:r>
        <w:tab/>
      </w:r>
      <w:r w:rsidR="00DF58C6" w:rsidRPr="00DF58C6">
        <w:t>(</w:t>
      </w:r>
      <w:proofErr w:type="spellStart"/>
      <w:r w:rsidR="00DF58C6" w:rsidRPr="00DF58C6">
        <w:t>cb</w:t>
      </w:r>
      <w:proofErr w:type="spellEnd"/>
      <w:r w:rsidR="00DF58C6" w:rsidRPr="00DF58C6">
        <w:t>)</w:t>
      </w:r>
      <w:r w:rsidR="00DF58C6" w:rsidRPr="00DF58C6">
        <w:tab/>
        <w:t>the abbreviations ‘HMO’ or ‘</w:t>
      </w:r>
      <w:proofErr w:type="spellStart"/>
      <w:r w:rsidR="00DF58C6" w:rsidRPr="00DF58C6">
        <w:t>HiMO</w:t>
      </w:r>
      <w:proofErr w:type="spellEnd"/>
      <w:r w:rsidR="00DF58C6" w:rsidRPr="00DF58C6">
        <w:t>’ or any abbreviation having the same or similar effect; or</w:t>
      </w:r>
    </w:p>
    <w:p w14:paraId="5BABE096" w14:textId="77777777" w:rsidR="00DF58C6" w:rsidRPr="00DF58C6" w:rsidRDefault="00DF58C6" w:rsidP="00DF58C6">
      <w:pPr>
        <w:spacing w:before="120" w:after="120"/>
        <w:ind w:left="851" w:hanging="851"/>
        <w:rPr>
          <w:rFonts w:eastAsia="Calibri"/>
          <w:b/>
          <w:sz w:val="20"/>
          <w:szCs w:val="20"/>
          <w:lang w:bidi="ar-SA"/>
        </w:rPr>
      </w:pPr>
    </w:p>
    <w:p w14:paraId="6BD3C4E3" w14:textId="77777777" w:rsidR="00DF58C6" w:rsidRPr="0027351D" w:rsidRDefault="00DF58C6" w:rsidP="0027351D">
      <w:pPr>
        <w:pStyle w:val="FSCDraftingitemheading"/>
      </w:pPr>
      <w:r w:rsidRPr="00DF58C6">
        <w:t>Standard 3.2.1 Food Safety Programs</w:t>
      </w:r>
    </w:p>
    <w:p w14:paraId="363535F8" w14:textId="77777777" w:rsidR="00DF58C6" w:rsidRPr="0027351D" w:rsidRDefault="00DF58C6" w:rsidP="0027351D">
      <w:pPr>
        <w:pStyle w:val="FSCDraftingitemheading"/>
      </w:pPr>
      <w:r w:rsidRPr="00DF58C6">
        <w:t>[9]</w:t>
      </w:r>
      <w:r w:rsidRPr="00DF58C6">
        <w:tab/>
        <w:t>Contents</w:t>
      </w:r>
    </w:p>
    <w:p w14:paraId="32644E86" w14:textId="77777777" w:rsidR="00DF58C6" w:rsidRPr="00DF58C6" w:rsidRDefault="00DF58C6" w:rsidP="0027351D">
      <w:pPr>
        <w:pStyle w:val="FSCDraftingitem"/>
        <w:rPr>
          <w:rFonts w:eastAsia="Calibri"/>
        </w:rPr>
      </w:pPr>
      <w:r w:rsidRPr="00DF58C6">
        <w:rPr>
          <w:rFonts w:eastAsia="Calibri"/>
        </w:rPr>
        <w:tab/>
      </w:r>
      <w:r w:rsidRPr="00DF58C6">
        <w:t>Repeal</w:t>
      </w:r>
      <w:r w:rsidRPr="0027351D">
        <w:t>:</w:t>
      </w:r>
    </w:p>
    <w:p w14:paraId="4D2545F1" w14:textId="77777777" w:rsidR="00DF58C6" w:rsidRPr="00DF58C6" w:rsidRDefault="00DF58C6" w:rsidP="003974EC">
      <w:pPr>
        <w:pStyle w:val="FSCtMain"/>
      </w:pPr>
      <w:r w:rsidRPr="00DF58C6">
        <w:rPr>
          <w:rFonts w:eastAsia="Calibri"/>
        </w:rPr>
        <w:tab/>
      </w:r>
      <w:bookmarkStart w:id="110" w:name="_Hlk118368626"/>
      <w:r w:rsidRPr="00DF58C6">
        <w:t>Division 2 – Food safety programs</w:t>
      </w:r>
    </w:p>
    <w:p w14:paraId="29F91188" w14:textId="77777777" w:rsidR="00DF58C6" w:rsidRPr="00DF58C6" w:rsidRDefault="00DF58C6" w:rsidP="003974EC">
      <w:pPr>
        <w:pStyle w:val="FSCtMain"/>
      </w:pPr>
      <w:r w:rsidRPr="00DF58C6">
        <w:tab/>
        <w:t>3            General food safety program requirements</w:t>
      </w:r>
    </w:p>
    <w:p w14:paraId="53226639" w14:textId="77777777" w:rsidR="00DF58C6" w:rsidRPr="00DF58C6" w:rsidRDefault="00DF58C6" w:rsidP="003974EC">
      <w:pPr>
        <w:pStyle w:val="FSCtMain"/>
      </w:pPr>
      <w:r w:rsidRPr="00DF58C6">
        <w:tab/>
        <w:t>4            Auditing of food safety programs</w:t>
      </w:r>
    </w:p>
    <w:p w14:paraId="69B86E0C" w14:textId="77777777" w:rsidR="00DF58C6" w:rsidRPr="00DF58C6" w:rsidRDefault="00DF58C6" w:rsidP="003974EC">
      <w:pPr>
        <w:pStyle w:val="FSCtMain"/>
      </w:pPr>
      <w:r w:rsidRPr="00DF58C6">
        <w:tab/>
        <w:t>Content of food safety programs</w:t>
      </w:r>
    </w:p>
    <w:p w14:paraId="6362BE4A" w14:textId="77777777" w:rsidR="00DF58C6" w:rsidRPr="00DF58C6" w:rsidRDefault="00DF58C6" w:rsidP="003974EC">
      <w:pPr>
        <w:pStyle w:val="FSCtMain"/>
      </w:pPr>
      <w:r w:rsidRPr="00DF58C6">
        <w:tab/>
        <w:t>6            Fund raising events</w:t>
      </w:r>
      <w:bookmarkEnd w:id="110"/>
    </w:p>
    <w:p w14:paraId="5E2B075B" w14:textId="77777777" w:rsidR="00DF58C6" w:rsidRPr="00DF58C6" w:rsidRDefault="00DF58C6" w:rsidP="0027351D">
      <w:pPr>
        <w:pStyle w:val="FSCDraftingitem"/>
        <w:rPr>
          <w:rFonts w:eastAsia="Calibri"/>
        </w:rPr>
      </w:pPr>
      <w:r w:rsidRPr="00DF58C6">
        <w:rPr>
          <w:rFonts w:eastAsia="Calibri"/>
        </w:rPr>
        <w:tab/>
      </w:r>
      <w:r w:rsidRPr="00DF58C6">
        <w:t>substitute</w:t>
      </w:r>
      <w:r w:rsidRPr="0027351D">
        <w:t>:</w:t>
      </w:r>
    </w:p>
    <w:p w14:paraId="33C60C2B" w14:textId="77777777" w:rsidR="00DF58C6" w:rsidRPr="003974EC" w:rsidRDefault="00DF58C6" w:rsidP="003974EC">
      <w:pPr>
        <w:pStyle w:val="FSCtMain"/>
      </w:pPr>
      <w:r w:rsidRPr="00DF58C6">
        <w:tab/>
        <w:t>Division 2 – Food safety programs</w:t>
      </w:r>
    </w:p>
    <w:p w14:paraId="4FCDACDB" w14:textId="77777777" w:rsidR="00DF58C6" w:rsidRPr="003974EC" w:rsidRDefault="00DF58C6" w:rsidP="003974EC">
      <w:pPr>
        <w:pStyle w:val="FSCtMain"/>
      </w:pPr>
      <w:r w:rsidRPr="00DF58C6">
        <w:tab/>
        <w:t>3</w:t>
      </w:r>
      <w:r w:rsidRPr="00DF58C6">
        <w:tab/>
        <w:t>General food safety program requirements</w:t>
      </w:r>
    </w:p>
    <w:p w14:paraId="206D223B" w14:textId="77777777" w:rsidR="00DF58C6" w:rsidRPr="003974EC" w:rsidRDefault="00DF58C6" w:rsidP="003974EC">
      <w:pPr>
        <w:pStyle w:val="FSCtMain"/>
      </w:pPr>
      <w:r w:rsidRPr="00DF58C6">
        <w:tab/>
        <w:t>4</w:t>
      </w:r>
      <w:r w:rsidRPr="00DF58C6">
        <w:tab/>
        <w:t>Auditing of food safety programs</w:t>
      </w:r>
    </w:p>
    <w:p w14:paraId="15C6EEA7" w14:textId="77777777" w:rsidR="00DF58C6" w:rsidRPr="003974EC" w:rsidRDefault="00DF58C6" w:rsidP="003974EC">
      <w:pPr>
        <w:pStyle w:val="FSCtMain"/>
      </w:pPr>
      <w:r w:rsidRPr="00DF58C6">
        <w:tab/>
        <w:t>5</w:t>
      </w:r>
      <w:r w:rsidRPr="00DF58C6">
        <w:tab/>
        <w:t>Content of food safety programs</w:t>
      </w:r>
    </w:p>
    <w:p w14:paraId="0BBE3F82" w14:textId="77777777" w:rsidR="00DF58C6" w:rsidRPr="00DF58C6" w:rsidRDefault="00DF58C6" w:rsidP="003974EC">
      <w:pPr>
        <w:pStyle w:val="FSCtMain"/>
        <w:rPr>
          <w:rFonts w:eastAsia="Calibri"/>
          <w:iCs w:val="0"/>
        </w:rPr>
      </w:pPr>
      <w:r w:rsidRPr="00DF58C6">
        <w:tab/>
        <w:t>6</w:t>
      </w:r>
      <w:r w:rsidRPr="00DF58C6">
        <w:tab/>
        <w:t>Fund raising events</w:t>
      </w:r>
    </w:p>
    <w:p w14:paraId="1C97129B" w14:textId="77777777" w:rsidR="00DF58C6" w:rsidRPr="00DF58C6" w:rsidRDefault="00DF58C6" w:rsidP="00DF58C6">
      <w:pPr>
        <w:spacing w:before="120" w:after="120"/>
        <w:ind w:left="851" w:hanging="851"/>
        <w:rPr>
          <w:b/>
          <w:sz w:val="20"/>
          <w:szCs w:val="20"/>
          <w:lang w:bidi="ar-SA"/>
        </w:rPr>
      </w:pPr>
    </w:p>
    <w:p w14:paraId="6AB17682" w14:textId="77777777" w:rsidR="00DF58C6" w:rsidRPr="00E72D68" w:rsidRDefault="00DF58C6" w:rsidP="00E72D68">
      <w:pPr>
        <w:pStyle w:val="FSCDraftingitemheading"/>
      </w:pPr>
      <w:r w:rsidRPr="00DF58C6">
        <w:t>Standard 3.2.2</w:t>
      </w:r>
      <w:r w:rsidRPr="00DF58C6">
        <w:tab/>
        <w:t>Food Safety Practices and General Requirements</w:t>
      </w:r>
    </w:p>
    <w:p w14:paraId="351C4DE4" w14:textId="77777777" w:rsidR="00DF58C6" w:rsidRPr="00DF58C6" w:rsidRDefault="00DF58C6" w:rsidP="00E72D68">
      <w:pPr>
        <w:pStyle w:val="FSCDraftingitemheading"/>
        <w:rPr>
          <w:b w:val="0"/>
        </w:rPr>
      </w:pPr>
      <w:r w:rsidRPr="00DF58C6">
        <w:t>[10]</w:t>
      </w:r>
      <w:r w:rsidRPr="00DF58C6">
        <w:tab/>
        <w:t>Subclause 4(4)</w:t>
      </w:r>
    </w:p>
    <w:p w14:paraId="19E4F68D" w14:textId="77777777" w:rsidR="00DF58C6" w:rsidRPr="00DF58C6" w:rsidRDefault="00DF58C6" w:rsidP="00E72D68">
      <w:pPr>
        <w:pStyle w:val="FSCDraftingitem"/>
      </w:pPr>
      <w:r w:rsidRPr="00DF58C6">
        <w:tab/>
        <w:t>Repeal the subclause.</w:t>
      </w:r>
    </w:p>
    <w:p w14:paraId="7FD34713" w14:textId="77777777" w:rsidR="00DF58C6" w:rsidRPr="00DF58C6" w:rsidRDefault="00DF58C6" w:rsidP="00DF58C6">
      <w:pPr>
        <w:spacing w:before="120" w:after="120"/>
        <w:ind w:left="851" w:hanging="851"/>
        <w:rPr>
          <w:b/>
          <w:sz w:val="20"/>
          <w:szCs w:val="20"/>
          <w:lang w:bidi="ar-SA"/>
        </w:rPr>
      </w:pPr>
    </w:p>
    <w:p w14:paraId="675AAB85" w14:textId="77777777" w:rsidR="00DF58C6" w:rsidRPr="00E72D68" w:rsidRDefault="00DF58C6" w:rsidP="00E72D68">
      <w:pPr>
        <w:pStyle w:val="FSCDraftingitemheading"/>
      </w:pPr>
      <w:r w:rsidRPr="00DF58C6">
        <w:t>Standard 4.1.1</w:t>
      </w:r>
      <w:r w:rsidRPr="00DF58C6">
        <w:tab/>
        <w:t>Primary Production and Processing Standards – Preliminary Provisions</w:t>
      </w:r>
    </w:p>
    <w:p w14:paraId="1C7304D4" w14:textId="77777777" w:rsidR="00DF58C6" w:rsidRPr="00DF58C6" w:rsidRDefault="00DF58C6" w:rsidP="00E72D68">
      <w:pPr>
        <w:pStyle w:val="FSCDraftingitemheading"/>
        <w:rPr>
          <w:b w:val="0"/>
        </w:rPr>
      </w:pPr>
      <w:r w:rsidRPr="00DF58C6">
        <w:t>[11]</w:t>
      </w:r>
      <w:r w:rsidRPr="00DF58C6">
        <w:tab/>
      </w:r>
      <w:bookmarkStart w:id="111" w:name="_Hlk120636207"/>
      <w:r w:rsidRPr="00DF58C6">
        <w:t>Clause 5 (editorial note)</w:t>
      </w:r>
      <w:bookmarkEnd w:id="111"/>
    </w:p>
    <w:p w14:paraId="038D07FE" w14:textId="77777777" w:rsidR="00DF58C6" w:rsidRPr="00DF58C6" w:rsidRDefault="00DF58C6" w:rsidP="00E72D68">
      <w:pPr>
        <w:pStyle w:val="FSCDraftingitem"/>
      </w:pPr>
      <w:r w:rsidRPr="00DF58C6">
        <w:tab/>
        <w:t>Omit “AQIS”, substitute “DAFF”.</w:t>
      </w:r>
    </w:p>
    <w:p w14:paraId="54785FFB" w14:textId="77777777" w:rsidR="00DF58C6" w:rsidRPr="00DF58C6" w:rsidRDefault="00DF58C6" w:rsidP="00DF58C6">
      <w:pPr>
        <w:spacing w:before="120" w:after="120"/>
        <w:ind w:left="851" w:hanging="851"/>
        <w:rPr>
          <w:b/>
          <w:sz w:val="20"/>
          <w:szCs w:val="20"/>
          <w:lang w:bidi="ar-SA"/>
        </w:rPr>
      </w:pPr>
    </w:p>
    <w:p w14:paraId="29070FAE" w14:textId="77777777" w:rsidR="00DF58C6" w:rsidRPr="00E72D68" w:rsidRDefault="00DF58C6" w:rsidP="00E72D68">
      <w:pPr>
        <w:pStyle w:val="FSCDraftingitemheading"/>
      </w:pPr>
      <w:r w:rsidRPr="00DF58C6">
        <w:t>Standard 4.2.1</w:t>
      </w:r>
      <w:r w:rsidRPr="00DF58C6">
        <w:tab/>
        <w:t>Primary Production and Processing Standard for Seafood</w:t>
      </w:r>
    </w:p>
    <w:p w14:paraId="0EF1447B" w14:textId="77777777" w:rsidR="00DF58C6" w:rsidRPr="00DF58C6" w:rsidRDefault="00DF58C6" w:rsidP="00E72D68">
      <w:pPr>
        <w:pStyle w:val="FSCDraftingitemheading"/>
        <w:rPr>
          <w:b w:val="0"/>
        </w:rPr>
      </w:pPr>
      <w:r w:rsidRPr="00DF58C6">
        <w:t>[12]</w:t>
      </w:r>
      <w:r w:rsidRPr="00DF58C6">
        <w:tab/>
      </w:r>
      <w:bookmarkStart w:id="112" w:name="_Hlk120636386"/>
      <w:r w:rsidRPr="00DF58C6">
        <w:t>Paragraph 16(2)(b)</w:t>
      </w:r>
      <w:bookmarkEnd w:id="112"/>
    </w:p>
    <w:p w14:paraId="58DCD3FC" w14:textId="77777777" w:rsidR="00DF58C6" w:rsidRPr="00DF58C6" w:rsidRDefault="00DF58C6" w:rsidP="00E72D68">
      <w:pPr>
        <w:pStyle w:val="FSCDraftingitem"/>
      </w:pPr>
      <w:r w:rsidRPr="00DF58C6">
        <w:tab/>
        <w:t>Omit:</w:t>
      </w:r>
    </w:p>
    <w:p w14:paraId="2ABD5852" w14:textId="77777777" w:rsidR="00DF58C6" w:rsidRPr="00DF58C6" w:rsidRDefault="00DF58C6" w:rsidP="0021687E">
      <w:pPr>
        <w:pStyle w:val="FSCtPara"/>
        <w:rPr>
          <w:lang w:val="en-AU"/>
        </w:rPr>
      </w:pPr>
      <w:r w:rsidRPr="00DF58C6">
        <w:rPr>
          <w:lang w:val="en-AU"/>
        </w:rPr>
        <w:t>Fish and Fish Products Orders (2005)</w:t>
      </w:r>
    </w:p>
    <w:p w14:paraId="3CF1F93D" w14:textId="77777777" w:rsidR="00DF58C6" w:rsidRPr="00DF58C6" w:rsidRDefault="00DF58C6" w:rsidP="00E72D68">
      <w:pPr>
        <w:pStyle w:val="FSCDraftingitem"/>
      </w:pPr>
      <w:r w:rsidRPr="00DF58C6">
        <w:lastRenderedPageBreak/>
        <w:tab/>
        <w:t>submit:</w:t>
      </w:r>
    </w:p>
    <w:p w14:paraId="29F35C86" w14:textId="77777777" w:rsidR="00DF58C6" w:rsidRPr="00DF58C6" w:rsidRDefault="00DF58C6" w:rsidP="0021687E">
      <w:pPr>
        <w:pStyle w:val="FSCtPara"/>
        <w:rPr>
          <w:i/>
          <w:lang w:val="en-AU"/>
        </w:rPr>
      </w:pPr>
      <w:r w:rsidRPr="00873848">
        <w:rPr>
          <w:i/>
          <w:iCs w:val="0"/>
          <w:lang w:val="en-AU"/>
        </w:rPr>
        <w:t>Export</w:t>
      </w:r>
      <w:r w:rsidRPr="00DF58C6">
        <w:rPr>
          <w:i/>
          <w:lang w:val="en-AU"/>
        </w:rPr>
        <w:t xml:space="preserve"> Control (Fish and Fish Products) Rules 2021</w:t>
      </w:r>
    </w:p>
    <w:p w14:paraId="78313F77" w14:textId="77777777" w:rsidR="00DF58C6" w:rsidRPr="00DF58C6" w:rsidRDefault="00DF58C6" w:rsidP="00DF58C6">
      <w:pPr>
        <w:spacing w:before="120" w:after="120"/>
        <w:ind w:left="851" w:hanging="851"/>
        <w:rPr>
          <w:b/>
          <w:sz w:val="20"/>
          <w:szCs w:val="20"/>
          <w:lang w:bidi="ar-SA"/>
        </w:rPr>
      </w:pPr>
    </w:p>
    <w:p w14:paraId="145CC0AE" w14:textId="77777777" w:rsidR="00DF58C6" w:rsidRPr="00B0215E" w:rsidRDefault="00DF58C6" w:rsidP="00B0215E">
      <w:pPr>
        <w:pStyle w:val="FSCDraftingitemheading"/>
      </w:pPr>
      <w:r w:rsidRPr="00DF58C6">
        <w:t>Standard 4.2.2</w:t>
      </w:r>
      <w:r w:rsidRPr="00DF58C6">
        <w:tab/>
        <w:t>Production and Processing Standard for Poultry Meat</w:t>
      </w:r>
    </w:p>
    <w:p w14:paraId="45587DD8" w14:textId="77777777" w:rsidR="00DF58C6" w:rsidRPr="00B0215E" w:rsidRDefault="00DF58C6" w:rsidP="00B0215E">
      <w:pPr>
        <w:pStyle w:val="FSCDraftingitemheading"/>
      </w:pPr>
      <w:r w:rsidRPr="00DF58C6">
        <w:t>[13]</w:t>
      </w:r>
      <w:r w:rsidRPr="00DF58C6">
        <w:tab/>
      </w:r>
      <w:bookmarkStart w:id="113" w:name="_Hlk120636674"/>
      <w:r w:rsidRPr="00DF58C6">
        <w:t>Clause 14 (editorial note)</w:t>
      </w:r>
      <w:bookmarkEnd w:id="113"/>
    </w:p>
    <w:p w14:paraId="6EE0AEDE" w14:textId="77777777" w:rsidR="00DF58C6" w:rsidRPr="00DF58C6" w:rsidRDefault="00DF58C6" w:rsidP="00B0215E">
      <w:pPr>
        <w:pStyle w:val="FSCDraftingitem"/>
      </w:pPr>
      <w:r w:rsidRPr="00DF58C6">
        <w:tab/>
        <w:t>Omit:</w:t>
      </w:r>
    </w:p>
    <w:p w14:paraId="3CA16DF7" w14:textId="77777777" w:rsidR="00DF58C6" w:rsidRPr="00B0215E" w:rsidRDefault="00DF58C6" w:rsidP="00B0215E">
      <w:pPr>
        <w:pStyle w:val="FSCtMain"/>
        <w:rPr>
          <w:i/>
          <w:iCs w:val="0"/>
        </w:rPr>
      </w:pPr>
      <w:r w:rsidRPr="00B0215E">
        <w:rPr>
          <w:i/>
          <w:iCs w:val="0"/>
        </w:rPr>
        <w:t>Australian Drinking Water Guidelines 2004</w:t>
      </w:r>
    </w:p>
    <w:p w14:paraId="18046530" w14:textId="77777777" w:rsidR="00DF58C6" w:rsidRPr="00DF58C6" w:rsidRDefault="00DF58C6" w:rsidP="00B0215E">
      <w:pPr>
        <w:pStyle w:val="FSCDraftingitem"/>
      </w:pPr>
      <w:r w:rsidRPr="00DF58C6">
        <w:tab/>
        <w:t>substitute:</w:t>
      </w:r>
    </w:p>
    <w:p w14:paraId="7BAAAEB6" w14:textId="77777777" w:rsidR="00DF58C6" w:rsidRPr="00DF58C6" w:rsidRDefault="00DF58C6" w:rsidP="00385381">
      <w:pPr>
        <w:pStyle w:val="FSCtMain"/>
        <w:rPr>
          <w:i/>
          <w:iCs w:val="0"/>
        </w:rPr>
      </w:pPr>
      <w:r w:rsidRPr="00385381">
        <w:rPr>
          <w:i/>
          <w:iCs w:val="0"/>
        </w:rPr>
        <w:t>Australian</w:t>
      </w:r>
      <w:r w:rsidRPr="00DF58C6">
        <w:rPr>
          <w:i/>
        </w:rPr>
        <w:t xml:space="preserve"> Drinking Water Guidelines 2011</w:t>
      </w:r>
    </w:p>
    <w:p w14:paraId="5DFD78DF" w14:textId="77777777" w:rsidR="00DF58C6" w:rsidRPr="00DF58C6" w:rsidRDefault="00DF58C6" w:rsidP="00DF58C6">
      <w:pPr>
        <w:spacing w:before="120" w:after="120"/>
        <w:ind w:left="851" w:hanging="851"/>
        <w:rPr>
          <w:b/>
          <w:sz w:val="20"/>
          <w:szCs w:val="20"/>
          <w:lang w:bidi="ar-SA"/>
        </w:rPr>
      </w:pPr>
    </w:p>
    <w:p w14:paraId="6012ED7C" w14:textId="77777777" w:rsidR="00DF58C6" w:rsidRPr="00A31331" w:rsidRDefault="00DF58C6" w:rsidP="00A31331">
      <w:pPr>
        <w:pStyle w:val="FSCDraftingitemheading"/>
      </w:pPr>
      <w:r w:rsidRPr="00DF58C6">
        <w:t>Standard 4.2.3</w:t>
      </w:r>
      <w:r w:rsidRPr="00DF58C6">
        <w:tab/>
        <w:t>Production and Processing Standard for Meat</w:t>
      </w:r>
    </w:p>
    <w:p w14:paraId="512D8C28" w14:textId="77777777" w:rsidR="00DF58C6" w:rsidRPr="00A31331" w:rsidRDefault="00DF58C6" w:rsidP="00A31331">
      <w:pPr>
        <w:pStyle w:val="FSCDraftingitemheading"/>
      </w:pPr>
      <w:r w:rsidRPr="00DF58C6">
        <w:t>[14]</w:t>
      </w:r>
      <w:r w:rsidRPr="00DF58C6">
        <w:tab/>
      </w:r>
      <w:bookmarkStart w:id="114" w:name="_Hlk120637026"/>
      <w:r w:rsidRPr="00DF58C6">
        <w:t>Clause 4 (Table 2, editorial note)</w:t>
      </w:r>
    </w:p>
    <w:bookmarkEnd w:id="114"/>
    <w:p w14:paraId="5B66B9C4" w14:textId="77777777" w:rsidR="00DF58C6" w:rsidRPr="00DF58C6" w:rsidRDefault="00DF58C6" w:rsidP="00A31331">
      <w:pPr>
        <w:pStyle w:val="FSCDraftingitem"/>
      </w:pPr>
      <w:r w:rsidRPr="00DF58C6">
        <w:tab/>
        <w:t>Omit:</w:t>
      </w:r>
    </w:p>
    <w:p w14:paraId="0EF168E0" w14:textId="77777777" w:rsidR="00DF58C6" w:rsidRPr="00DF58C6" w:rsidRDefault="00DF58C6" w:rsidP="00A31331">
      <w:pPr>
        <w:pStyle w:val="FSCtMain"/>
      </w:pPr>
      <w:r w:rsidRPr="00DF58C6">
        <w:t>Export Control (Meat and Meat Products) Orders 2005</w:t>
      </w:r>
    </w:p>
    <w:p w14:paraId="5E511697" w14:textId="77777777" w:rsidR="00DF58C6" w:rsidRPr="00DF58C6" w:rsidRDefault="00DF58C6" w:rsidP="00A31331">
      <w:pPr>
        <w:pStyle w:val="FSCDraftingitem"/>
      </w:pPr>
      <w:r w:rsidRPr="00DF58C6">
        <w:tab/>
        <w:t>substitute:</w:t>
      </w:r>
    </w:p>
    <w:p w14:paraId="67DC880D" w14:textId="77777777" w:rsidR="00DF58C6" w:rsidRPr="00DF58C6" w:rsidRDefault="00DF58C6" w:rsidP="00A31331">
      <w:pPr>
        <w:pStyle w:val="FSCtMain"/>
        <w:rPr>
          <w:i/>
          <w:iCs w:val="0"/>
        </w:rPr>
      </w:pPr>
      <w:r w:rsidRPr="00DF58C6">
        <w:rPr>
          <w:i/>
        </w:rPr>
        <w:t xml:space="preserve">Export Control (Meat and Meat Product) </w:t>
      </w:r>
      <w:r w:rsidRPr="0023711B">
        <w:rPr>
          <w:i/>
          <w:iCs w:val="0"/>
        </w:rPr>
        <w:t>Rules</w:t>
      </w:r>
      <w:r w:rsidRPr="00DF58C6">
        <w:rPr>
          <w:i/>
        </w:rPr>
        <w:t xml:space="preserve"> 2021</w:t>
      </w:r>
    </w:p>
    <w:p w14:paraId="125C5BD4" w14:textId="77777777" w:rsidR="00DF58C6" w:rsidRPr="00DF58C6" w:rsidRDefault="00DF58C6" w:rsidP="00DF58C6">
      <w:pPr>
        <w:spacing w:before="120" w:after="120"/>
        <w:ind w:left="851" w:hanging="851"/>
        <w:rPr>
          <w:b/>
          <w:sz w:val="20"/>
          <w:szCs w:val="20"/>
          <w:lang w:bidi="ar-SA"/>
        </w:rPr>
      </w:pPr>
    </w:p>
    <w:p w14:paraId="7C3B8637" w14:textId="77777777" w:rsidR="00DF58C6" w:rsidRPr="00680E1C" w:rsidRDefault="00DF58C6" w:rsidP="00680E1C">
      <w:pPr>
        <w:pStyle w:val="FSCDraftingitemheading"/>
      </w:pPr>
      <w:r w:rsidRPr="00DF58C6">
        <w:t>Standard 4.2.8</w:t>
      </w:r>
      <w:r w:rsidRPr="00DF58C6">
        <w:tab/>
        <w:t>Primary Production and Processing Standard for Leafy Vegetables</w:t>
      </w:r>
    </w:p>
    <w:p w14:paraId="1298E0A6" w14:textId="77777777" w:rsidR="00DF58C6" w:rsidRPr="00680E1C" w:rsidRDefault="00DF58C6" w:rsidP="00680E1C">
      <w:pPr>
        <w:pStyle w:val="FSCDraftingitemheading"/>
      </w:pPr>
      <w:r w:rsidRPr="00DF58C6">
        <w:t>[15]</w:t>
      </w:r>
      <w:r w:rsidRPr="00DF58C6">
        <w:tab/>
      </w:r>
      <w:bookmarkStart w:id="115" w:name="_Hlk120637413"/>
      <w:r w:rsidRPr="00DF58C6">
        <w:t>Section 4.2.9—8 (section heading)</w:t>
      </w:r>
      <w:bookmarkEnd w:id="115"/>
    </w:p>
    <w:p w14:paraId="0DEEECBE" w14:textId="77777777" w:rsidR="00DF58C6" w:rsidRPr="00DF58C6" w:rsidRDefault="00DF58C6" w:rsidP="00680E1C">
      <w:pPr>
        <w:pStyle w:val="FSCDraftingitem"/>
      </w:pPr>
      <w:r w:rsidRPr="00DF58C6">
        <w:tab/>
        <w:t>Omit “4.2.9—8”, substitute “4.2.8—8”</w:t>
      </w:r>
    </w:p>
    <w:p w14:paraId="21FCDD7D" w14:textId="77777777" w:rsidR="00DF58C6" w:rsidRPr="00DF58C6" w:rsidRDefault="00DF58C6" w:rsidP="00DF58C6">
      <w:pPr>
        <w:spacing w:before="120" w:after="120"/>
        <w:ind w:left="851" w:hanging="851"/>
        <w:rPr>
          <w:b/>
          <w:sz w:val="20"/>
          <w:szCs w:val="20"/>
          <w:lang w:bidi="ar-SA"/>
        </w:rPr>
      </w:pPr>
    </w:p>
    <w:p w14:paraId="7CC9BB2E" w14:textId="77777777" w:rsidR="00DF58C6" w:rsidRPr="00680E1C" w:rsidRDefault="00DF58C6" w:rsidP="00680E1C">
      <w:pPr>
        <w:pStyle w:val="FSCDraftingitemheading"/>
      </w:pPr>
      <w:r w:rsidRPr="00DF58C6">
        <w:t>Schedule 3 Identity and purity</w:t>
      </w:r>
    </w:p>
    <w:p w14:paraId="621ECB72" w14:textId="77777777" w:rsidR="00DF58C6" w:rsidRPr="00680E1C" w:rsidRDefault="00DF58C6" w:rsidP="00680E1C">
      <w:pPr>
        <w:pStyle w:val="FSCDraftingitemheading"/>
      </w:pPr>
      <w:r w:rsidRPr="00DF58C6">
        <w:t>[16]</w:t>
      </w:r>
      <w:r w:rsidRPr="00DF58C6">
        <w:tab/>
        <w:t>Subparagraph S3—2(1)(b)(xiv)</w:t>
      </w:r>
    </w:p>
    <w:p w14:paraId="526FB871" w14:textId="77777777" w:rsidR="00DF58C6" w:rsidRPr="00DF58C6" w:rsidRDefault="00DF58C6" w:rsidP="00680E1C">
      <w:pPr>
        <w:pStyle w:val="FSCDraftingitem"/>
      </w:pPr>
      <w:r w:rsidRPr="00DF58C6">
        <w:tab/>
        <w:t>Repeal the subparagraph, substitute:</w:t>
      </w:r>
    </w:p>
    <w:p w14:paraId="2303B3B3" w14:textId="77777777" w:rsidR="00DF58C6" w:rsidRPr="00DF58C6" w:rsidRDefault="00DF58C6" w:rsidP="00844DBC">
      <w:pPr>
        <w:pStyle w:val="FSCtSubpara"/>
      </w:pPr>
      <w:r w:rsidRPr="00DF58C6">
        <w:tab/>
      </w:r>
      <w:r w:rsidRPr="00DF58C6">
        <w:tab/>
        <w:t xml:space="preserve">      (xiv)</w:t>
      </w:r>
      <w:r w:rsidRPr="00DF58C6">
        <w:tab/>
        <w:t>FAO JECFA Monographs 23 (2019);</w:t>
      </w:r>
    </w:p>
    <w:p w14:paraId="60119C0A" w14:textId="77777777" w:rsidR="00DF58C6" w:rsidRPr="00DF58C6" w:rsidRDefault="00DF58C6" w:rsidP="00844DBC">
      <w:pPr>
        <w:pStyle w:val="FSCtSubpara"/>
      </w:pPr>
      <w:r w:rsidRPr="00DF58C6">
        <w:tab/>
      </w:r>
      <w:r w:rsidRPr="00DF58C6">
        <w:tab/>
        <w:t xml:space="preserve">      (xv)</w:t>
      </w:r>
      <w:r w:rsidRPr="00DF58C6">
        <w:tab/>
        <w:t xml:space="preserve">FAO JECFA Monographs 25 (2020); </w:t>
      </w:r>
    </w:p>
    <w:p w14:paraId="1E9C0673" w14:textId="77777777" w:rsidR="00DF58C6" w:rsidRPr="00DF58C6" w:rsidRDefault="00DF58C6" w:rsidP="00844DBC">
      <w:pPr>
        <w:pStyle w:val="FSCtSubpara"/>
      </w:pPr>
      <w:r w:rsidRPr="00DF58C6">
        <w:tab/>
      </w:r>
      <w:r w:rsidRPr="00DF58C6">
        <w:tab/>
        <w:t xml:space="preserve">      (xvi)</w:t>
      </w:r>
      <w:r w:rsidRPr="00DF58C6">
        <w:tab/>
        <w:t>FAO JECFA Monographs 26 (2021); or</w:t>
      </w:r>
    </w:p>
    <w:p w14:paraId="62B022F2" w14:textId="77777777" w:rsidR="00DF58C6" w:rsidRPr="00DF58C6" w:rsidRDefault="00DF58C6" w:rsidP="00DF58C6">
      <w:pPr>
        <w:widowControl/>
        <w:tabs>
          <w:tab w:val="left" w:pos="851"/>
        </w:tabs>
        <w:spacing w:before="120" w:after="120"/>
        <w:rPr>
          <w:sz w:val="20"/>
          <w:szCs w:val="20"/>
          <w:lang w:bidi="ar-SA"/>
        </w:rPr>
      </w:pPr>
    </w:p>
    <w:p w14:paraId="1A398E76" w14:textId="77777777" w:rsidR="00DF58C6" w:rsidRPr="00DF58C6" w:rsidRDefault="00DF58C6" w:rsidP="008B5BF5">
      <w:pPr>
        <w:pStyle w:val="FSCDraftingitemheading"/>
        <w:rPr>
          <w:b w:val="0"/>
        </w:rPr>
      </w:pPr>
      <w:r w:rsidRPr="00DF58C6">
        <w:t>[17]</w:t>
      </w:r>
      <w:r w:rsidRPr="00DF58C6">
        <w:tab/>
        <w:t>Paragraph S3—2(1)(c)</w:t>
      </w:r>
    </w:p>
    <w:p w14:paraId="2D1AF19A" w14:textId="77777777" w:rsidR="00DF58C6" w:rsidRPr="00DF58C6" w:rsidRDefault="00DF58C6" w:rsidP="008B5BF5">
      <w:pPr>
        <w:pStyle w:val="FSCDraftingitem"/>
      </w:pPr>
      <w:r w:rsidRPr="00DF58C6">
        <w:tab/>
        <w:t>Repeal the paragraph, substitute:</w:t>
      </w:r>
    </w:p>
    <w:p w14:paraId="7DB36547" w14:textId="62064661" w:rsidR="00DF58C6" w:rsidRPr="00DF58C6" w:rsidRDefault="008B5BF5" w:rsidP="008B5BF5">
      <w:pPr>
        <w:pStyle w:val="FSCtPara"/>
        <w:ind w:left="3119" w:hanging="3400"/>
      </w:pPr>
      <w:r>
        <w:tab/>
        <w:t xml:space="preserve">                   </w:t>
      </w:r>
      <w:r w:rsidR="00DF58C6" w:rsidRPr="00DF58C6">
        <w:t>(c)</w:t>
      </w:r>
      <w:r w:rsidR="00DF58C6" w:rsidRPr="00DF58C6">
        <w:tab/>
        <w:t>United States Pharmacopeial Convention (2022) Food chemicals codex. 13th ed, United States Pharmacopeial Convention, Rockville, MD; or</w:t>
      </w:r>
    </w:p>
    <w:p w14:paraId="664147CE" w14:textId="77777777" w:rsidR="00DF58C6" w:rsidRPr="00DF58C6" w:rsidRDefault="00DF58C6" w:rsidP="00DF58C6">
      <w:pPr>
        <w:spacing w:before="120" w:after="120"/>
        <w:ind w:left="851" w:hanging="851"/>
        <w:rPr>
          <w:b/>
          <w:sz w:val="20"/>
          <w:szCs w:val="20"/>
          <w:lang w:bidi="ar-SA"/>
        </w:rPr>
      </w:pPr>
    </w:p>
    <w:p w14:paraId="716CA324" w14:textId="77777777" w:rsidR="00DF58C6" w:rsidRPr="00DF58C6" w:rsidRDefault="00DF58C6" w:rsidP="008045E6">
      <w:pPr>
        <w:pStyle w:val="FSCDraftingitemheading"/>
        <w:rPr>
          <w:b w:val="0"/>
        </w:rPr>
      </w:pPr>
      <w:r w:rsidRPr="00DF58C6">
        <w:t>[18]</w:t>
      </w:r>
      <w:r w:rsidRPr="00DF58C6">
        <w:tab/>
        <w:t>Paragraph S3—3(j)</w:t>
      </w:r>
    </w:p>
    <w:p w14:paraId="6FBB9F33" w14:textId="77777777" w:rsidR="00DF58C6" w:rsidRPr="00DF58C6" w:rsidRDefault="00DF58C6" w:rsidP="008045E6">
      <w:pPr>
        <w:pStyle w:val="FSCDraftingitem"/>
      </w:pPr>
      <w:r w:rsidRPr="00DF58C6">
        <w:tab/>
        <w:t>Repeal the paragraph, substitute:</w:t>
      </w:r>
    </w:p>
    <w:p w14:paraId="0BD762F0" w14:textId="234C7DCA" w:rsidR="00DF58C6" w:rsidRPr="00DF58C6" w:rsidRDefault="008045E6" w:rsidP="006B5BEF">
      <w:pPr>
        <w:pStyle w:val="FSCtPara"/>
        <w:ind w:left="3400" w:hanging="3400"/>
        <w:rPr>
          <w:iCs w:val="0"/>
        </w:rPr>
      </w:pPr>
      <w:r>
        <w:tab/>
        <w:t xml:space="preserve">                    </w:t>
      </w:r>
      <w:r w:rsidR="00DF58C6" w:rsidRPr="00DF58C6">
        <w:t>(j)</w:t>
      </w:r>
      <w:r w:rsidR="00DF58C6" w:rsidRPr="00DF58C6">
        <w:tab/>
        <w:t xml:space="preserve">the International Oenological Codex (2022), Organisation Internationale de la </w:t>
      </w:r>
      <w:proofErr w:type="spellStart"/>
      <w:r w:rsidR="00DF58C6" w:rsidRPr="00DF58C6">
        <w:t>Vigne</w:t>
      </w:r>
      <w:proofErr w:type="spellEnd"/>
      <w:r w:rsidR="00DF58C6" w:rsidRPr="00DF58C6">
        <w:t xml:space="preserve"> et du Vin (OIV).</w:t>
      </w:r>
    </w:p>
    <w:p w14:paraId="60FB4AF5" w14:textId="77777777" w:rsidR="00DF58C6" w:rsidRPr="00DF58C6" w:rsidRDefault="00DF58C6" w:rsidP="00DF58C6">
      <w:pPr>
        <w:widowControl/>
        <w:tabs>
          <w:tab w:val="left" w:pos="993"/>
        </w:tabs>
        <w:spacing w:before="120" w:after="120"/>
        <w:ind w:left="1701" w:hanging="1701"/>
        <w:rPr>
          <w:sz w:val="20"/>
          <w:szCs w:val="20"/>
          <w:lang w:bidi="ar-SA"/>
        </w:rPr>
      </w:pPr>
    </w:p>
    <w:p w14:paraId="23777491" w14:textId="77777777" w:rsidR="00DF58C6" w:rsidRPr="00DF58C6" w:rsidRDefault="00DF58C6" w:rsidP="00813126">
      <w:pPr>
        <w:pStyle w:val="FSCDraftingitemheading"/>
        <w:rPr>
          <w:b w:val="0"/>
        </w:rPr>
      </w:pPr>
      <w:r w:rsidRPr="00DF58C6">
        <w:t>[19]</w:t>
      </w:r>
      <w:r w:rsidRPr="00DF58C6">
        <w:tab/>
        <w:t>Sections S3—13 (heading), S3—21 (heading), S3—22 (heading)</w:t>
      </w:r>
    </w:p>
    <w:p w14:paraId="38BFB72B" w14:textId="77777777" w:rsidR="00DF58C6" w:rsidRPr="00DF58C6" w:rsidRDefault="00DF58C6" w:rsidP="00813126">
      <w:pPr>
        <w:pStyle w:val="FSCDraftingitem"/>
      </w:pPr>
      <w:r w:rsidRPr="00DF58C6">
        <w:lastRenderedPageBreak/>
        <w:tab/>
        <w:t>Omit “</w:t>
      </w:r>
      <w:r w:rsidRPr="00DF58C6">
        <w:rPr>
          <w:i/>
          <w:iCs/>
        </w:rPr>
        <w:t>sp</w:t>
      </w:r>
      <w:r w:rsidRPr="00DF58C6">
        <w:t>.”, substitute “sp.”</w:t>
      </w:r>
    </w:p>
    <w:p w14:paraId="2DE2B3F4" w14:textId="77777777" w:rsidR="00DF58C6" w:rsidRPr="00DF58C6" w:rsidRDefault="00DF58C6" w:rsidP="00DF58C6">
      <w:pPr>
        <w:spacing w:before="120" w:after="120"/>
        <w:ind w:left="851" w:hanging="851"/>
        <w:rPr>
          <w:b/>
          <w:sz w:val="20"/>
          <w:szCs w:val="20"/>
          <w:lang w:bidi="ar-SA"/>
        </w:rPr>
      </w:pPr>
    </w:p>
    <w:p w14:paraId="6D1E6E7B" w14:textId="77777777" w:rsidR="00DF58C6" w:rsidRPr="00DF58C6" w:rsidRDefault="00DF58C6" w:rsidP="00813126">
      <w:pPr>
        <w:pStyle w:val="FSCDraftingitemheading"/>
        <w:rPr>
          <w:b w:val="0"/>
        </w:rPr>
      </w:pPr>
      <w:r w:rsidRPr="00DF58C6">
        <w:t>[20]</w:t>
      </w:r>
      <w:r w:rsidRPr="00DF58C6">
        <w:tab/>
        <w:t>Subparagraphs S3—14(2)(f)(iv) and S3—41(q)(v)</w:t>
      </w:r>
    </w:p>
    <w:p w14:paraId="43815287" w14:textId="77777777" w:rsidR="00DF58C6" w:rsidRPr="00DF58C6" w:rsidRDefault="00DF58C6" w:rsidP="00813126">
      <w:pPr>
        <w:pStyle w:val="FSCDraftingitem"/>
      </w:pPr>
      <w:r w:rsidRPr="00DF58C6">
        <w:tab/>
        <w:t>Omit “</w:t>
      </w:r>
      <w:r w:rsidRPr="00DF58C6">
        <w:rPr>
          <w:i/>
          <w:iCs/>
        </w:rPr>
        <w:t>listeria</w:t>
      </w:r>
      <w:r w:rsidRPr="00DF58C6">
        <w:t>”, substitute “</w:t>
      </w:r>
      <w:r w:rsidRPr="00DF58C6">
        <w:rPr>
          <w:i/>
          <w:iCs/>
        </w:rPr>
        <w:t>Listeria</w:t>
      </w:r>
      <w:r w:rsidRPr="00DF58C6">
        <w:t>”</w:t>
      </w:r>
    </w:p>
    <w:p w14:paraId="5347E9F8" w14:textId="77777777" w:rsidR="00DF58C6" w:rsidRPr="00DF58C6" w:rsidRDefault="00DF58C6" w:rsidP="00DF58C6">
      <w:pPr>
        <w:widowControl/>
        <w:tabs>
          <w:tab w:val="left" w:pos="851"/>
        </w:tabs>
        <w:spacing w:before="120" w:after="120"/>
        <w:rPr>
          <w:sz w:val="20"/>
          <w:szCs w:val="20"/>
          <w:lang w:bidi="ar-SA"/>
        </w:rPr>
      </w:pPr>
    </w:p>
    <w:p w14:paraId="5AEAB5D1" w14:textId="2CBD524D" w:rsidR="00DF58C6" w:rsidRPr="00DF58C6" w:rsidRDefault="00DF58C6" w:rsidP="0024615B">
      <w:pPr>
        <w:pStyle w:val="FSCDraftingitemheading"/>
        <w:rPr>
          <w:b w:val="0"/>
        </w:rPr>
      </w:pPr>
      <w:r w:rsidRPr="00DF58C6">
        <w:t>[</w:t>
      </w:r>
      <w:r w:rsidR="00C4082E" w:rsidRPr="00DF58C6">
        <w:t>2</w:t>
      </w:r>
      <w:r w:rsidR="00C4082E">
        <w:t>1</w:t>
      </w:r>
      <w:r w:rsidRPr="00DF58C6">
        <w:t>]</w:t>
      </w:r>
      <w:r w:rsidRPr="00DF58C6">
        <w:tab/>
        <w:t xml:space="preserve">Subparagraphs </w:t>
      </w:r>
      <w:r w:rsidR="00BA000F" w:rsidRPr="00BA000F">
        <w:t>S3—14(2)(f)(v)</w:t>
      </w:r>
      <w:r w:rsidR="00BA000F">
        <w:t xml:space="preserve">, </w:t>
      </w:r>
      <w:r w:rsidRPr="00DF58C6">
        <w:t>S3—18(</w:t>
      </w:r>
      <w:proofErr w:type="spellStart"/>
      <w:r w:rsidRPr="00DF58C6">
        <w:t>i</w:t>
      </w:r>
      <w:proofErr w:type="spellEnd"/>
      <w:r w:rsidRPr="00DF58C6">
        <w:t>)(iv), S3—26(l)(iii), S3—27(2)(d)(v) and S3—41(q)(</w:t>
      </w:r>
      <w:proofErr w:type="spellStart"/>
      <w:r w:rsidRPr="00DF58C6">
        <w:t>i</w:t>
      </w:r>
      <w:proofErr w:type="spellEnd"/>
      <w:r w:rsidRPr="00DF58C6">
        <w:t>)</w:t>
      </w:r>
    </w:p>
    <w:p w14:paraId="794DF262" w14:textId="141CF48B" w:rsidR="00DF58C6" w:rsidRDefault="00DF58C6" w:rsidP="0024615B">
      <w:pPr>
        <w:pStyle w:val="FSCDraftingitem"/>
      </w:pPr>
      <w:r w:rsidRPr="00DF58C6">
        <w:tab/>
        <w:t>Omit “</w:t>
      </w:r>
      <w:r w:rsidRPr="00DF58C6">
        <w:rPr>
          <w:i/>
          <w:iCs/>
        </w:rPr>
        <w:t>salmonella</w:t>
      </w:r>
      <w:r w:rsidRPr="00DF58C6">
        <w:t>”, substitute “</w:t>
      </w:r>
      <w:r w:rsidRPr="00DF58C6">
        <w:rPr>
          <w:i/>
          <w:iCs/>
        </w:rPr>
        <w:t>Salmonella</w:t>
      </w:r>
      <w:r w:rsidRPr="00DF58C6">
        <w:t>”</w:t>
      </w:r>
    </w:p>
    <w:p w14:paraId="35DE2348" w14:textId="713591A4" w:rsidR="00C4082E" w:rsidRDefault="00C4082E" w:rsidP="00DF58C6">
      <w:pPr>
        <w:widowControl/>
        <w:tabs>
          <w:tab w:val="left" w:pos="851"/>
        </w:tabs>
        <w:spacing w:before="120" w:after="120"/>
        <w:rPr>
          <w:sz w:val="20"/>
          <w:szCs w:val="20"/>
          <w:lang w:bidi="ar-SA"/>
        </w:rPr>
      </w:pPr>
    </w:p>
    <w:p w14:paraId="743352F0" w14:textId="400FBBAD" w:rsidR="00C4082E" w:rsidRPr="00DF58C6" w:rsidRDefault="00C4082E" w:rsidP="0024615B">
      <w:pPr>
        <w:pStyle w:val="FSCDraftingitemheading"/>
        <w:rPr>
          <w:b w:val="0"/>
        </w:rPr>
      </w:pPr>
      <w:r w:rsidRPr="00DF58C6">
        <w:t>[2</w:t>
      </w:r>
      <w:r w:rsidR="006D626E">
        <w:t>2</w:t>
      </w:r>
      <w:r w:rsidRPr="00DF58C6">
        <w:t>]</w:t>
      </w:r>
      <w:r w:rsidRPr="00DF58C6">
        <w:tab/>
        <w:t>Subparagraphs S3—14(2)(f)(vi) and S3—41(q)(vi)</w:t>
      </w:r>
    </w:p>
    <w:p w14:paraId="7001ACDB" w14:textId="77777777" w:rsidR="00C4082E" w:rsidRPr="00DF58C6" w:rsidRDefault="00C4082E" w:rsidP="0024615B">
      <w:pPr>
        <w:pStyle w:val="FSCDraftingitem"/>
      </w:pPr>
      <w:r w:rsidRPr="00DF58C6">
        <w:tab/>
        <w:t>Omit “</w:t>
      </w:r>
      <w:r w:rsidRPr="00DF58C6">
        <w:rPr>
          <w:i/>
          <w:iCs/>
        </w:rPr>
        <w:t>bacillus cereus</w:t>
      </w:r>
      <w:r w:rsidRPr="00DF58C6">
        <w:t>”, substitute “</w:t>
      </w:r>
      <w:r w:rsidRPr="00DF58C6">
        <w:rPr>
          <w:i/>
          <w:iCs/>
        </w:rPr>
        <w:t>Bacillus cereus</w:t>
      </w:r>
      <w:r w:rsidRPr="00DF58C6">
        <w:t>”</w:t>
      </w:r>
    </w:p>
    <w:p w14:paraId="3E58832D" w14:textId="77777777" w:rsidR="00DF58C6" w:rsidRPr="00DF58C6" w:rsidRDefault="00DF58C6" w:rsidP="00DF58C6">
      <w:pPr>
        <w:widowControl/>
        <w:tabs>
          <w:tab w:val="left" w:pos="851"/>
        </w:tabs>
        <w:spacing w:before="120" w:after="120"/>
        <w:rPr>
          <w:sz w:val="20"/>
          <w:szCs w:val="20"/>
          <w:lang w:bidi="ar-SA"/>
        </w:rPr>
      </w:pPr>
    </w:p>
    <w:p w14:paraId="64AD2CA3" w14:textId="77777777" w:rsidR="00DF58C6" w:rsidRPr="00DF58C6" w:rsidRDefault="00DF58C6" w:rsidP="0024615B">
      <w:pPr>
        <w:pStyle w:val="FSCDraftingitemheading"/>
        <w:rPr>
          <w:b w:val="0"/>
        </w:rPr>
      </w:pPr>
      <w:r w:rsidRPr="00DF58C6">
        <w:t>[23]</w:t>
      </w:r>
      <w:r w:rsidRPr="00DF58C6">
        <w:tab/>
      </w:r>
      <w:bookmarkStart w:id="116" w:name="_Hlk120637806"/>
      <w:r w:rsidRPr="00DF58C6">
        <w:t>Subparagraphs S3—26(l)(</w:t>
      </w:r>
      <w:proofErr w:type="spellStart"/>
      <w:r w:rsidRPr="00DF58C6">
        <w:t>i</w:t>
      </w:r>
      <w:proofErr w:type="spellEnd"/>
      <w:r w:rsidRPr="00DF58C6">
        <w:t>) and S3—44(2)(h)(</w:t>
      </w:r>
      <w:proofErr w:type="spellStart"/>
      <w:r w:rsidRPr="00DF58C6">
        <w:t>i</w:t>
      </w:r>
      <w:proofErr w:type="spellEnd"/>
      <w:r w:rsidRPr="00DF58C6">
        <w:t>)</w:t>
      </w:r>
      <w:bookmarkEnd w:id="116"/>
    </w:p>
    <w:p w14:paraId="62965A81" w14:textId="77777777" w:rsidR="00DF58C6" w:rsidRPr="00DF58C6" w:rsidRDefault="00DF58C6" w:rsidP="0024615B">
      <w:pPr>
        <w:pStyle w:val="FSCDraftingitem"/>
      </w:pPr>
      <w:r w:rsidRPr="00DF58C6">
        <w:tab/>
        <w:t>Omit “standard plate count”, substitute “*SPC”</w:t>
      </w:r>
    </w:p>
    <w:p w14:paraId="3D1AF947" w14:textId="77777777" w:rsidR="00DF58C6" w:rsidRPr="00DF58C6" w:rsidRDefault="00DF58C6" w:rsidP="00DF58C6">
      <w:pPr>
        <w:widowControl/>
        <w:tabs>
          <w:tab w:val="left" w:pos="851"/>
        </w:tabs>
        <w:spacing w:before="120" w:after="120"/>
        <w:rPr>
          <w:sz w:val="20"/>
          <w:szCs w:val="20"/>
          <w:lang w:bidi="ar-SA"/>
        </w:rPr>
      </w:pPr>
    </w:p>
    <w:p w14:paraId="4EDA00A5" w14:textId="77777777" w:rsidR="00DF58C6" w:rsidRPr="00DF58C6" w:rsidRDefault="00DF58C6" w:rsidP="00E70C17">
      <w:pPr>
        <w:pStyle w:val="FSCDraftingitemheading"/>
        <w:rPr>
          <w:b w:val="0"/>
        </w:rPr>
      </w:pPr>
      <w:bookmarkStart w:id="117" w:name="_Hlk112837822"/>
      <w:r w:rsidRPr="00DF58C6">
        <w:t>[24]</w:t>
      </w:r>
      <w:r w:rsidRPr="00DF58C6">
        <w:tab/>
        <w:t xml:space="preserve">Subparagraphs S3—27(2)(d)(iv) and S3—39(A)(d)(ii) </w:t>
      </w:r>
    </w:p>
    <w:bookmarkEnd w:id="117"/>
    <w:p w14:paraId="1C578A58" w14:textId="77777777" w:rsidR="00DF58C6" w:rsidRPr="00DF58C6" w:rsidRDefault="00DF58C6" w:rsidP="00E70C17">
      <w:pPr>
        <w:pStyle w:val="FSCDraftingitem"/>
      </w:pPr>
      <w:r w:rsidRPr="00DF58C6">
        <w:tab/>
        <w:t>Omit “</w:t>
      </w:r>
      <w:r w:rsidRPr="00DF58C6">
        <w:rPr>
          <w:i/>
          <w:iCs/>
        </w:rPr>
        <w:t>E. coli</w:t>
      </w:r>
      <w:r w:rsidRPr="00DF58C6">
        <w:t>”, substitute “</w:t>
      </w:r>
      <w:r w:rsidRPr="00DF58C6">
        <w:rPr>
          <w:i/>
          <w:iCs/>
        </w:rPr>
        <w:t>Escherichia coli</w:t>
      </w:r>
      <w:r w:rsidRPr="00DF58C6">
        <w:t>”</w:t>
      </w:r>
    </w:p>
    <w:p w14:paraId="6563019F" w14:textId="77777777" w:rsidR="00DF58C6" w:rsidRPr="00DF58C6" w:rsidRDefault="00DF58C6" w:rsidP="00DF58C6">
      <w:pPr>
        <w:spacing w:before="120" w:after="120"/>
        <w:ind w:left="851" w:hanging="851"/>
        <w:rPr>
          <w:b/>
          <w:sz w:val="20"/>
          <w:szCs w:val="20"/>
          <w:lang w:bidi="ar-SA"/>
        </w:rPr>
      </w:pPr>
    </w:p>
    <w:p w14:paraId="22421EAF" w14:textId="77777777" w:rsidR="00DF58C6" w:rsidRPr="00DF58C6" w:rsidRDefault="00DF58C6" w:rsidP="00E70C17">
      <w:pPr>
        <w:pStyle w:val="FSCDraftingitemheading"/>
        <w:rPr>
          <w:b w:val="0"/>
        </w:rPr>
      </w:pPr>
      <w:r w:rsidRPr="00DF58C6">
        <w:t>[25]</w:t>
      </w:r>
      <w:r w:rsidRPr="00DF58C6">
        <w:tab/>
        <w:t>Subparagraph S3—41(q)(iii)</w:t>
      </w:r>
    </w:p>
    <w:p w14:paraId="5D9FE4F5" w14:textId="77777777" w:rsidR="00DF58C6" w:rsidRPr="00DF58C6" w:rsidRDefault="00DF58C6" w:rsidP="00E70C17">
      <w:pPr>
        <w:pStyle w:val="FSCDraftingitem"/>
      </w:pPr>
      <w:r w:rsidRPr="00DF58C6">
        <w:tab/>
        <w:t>Omit “</w:t>
      </w:r>
      <w:proofErr w:type="spellStart"/>
      <w:r w:rsidRPr="00DF58C6">
        <w:t>enterobacteriaceae</w:t>
      </w:r>
      <w:proofErr w:type="spellEnd"/>
      <w:r w:rsidRPr="00DF58C6">
        <w:t>”, substitute “</w:t>
      </w:r>
      <w:r w:rsidRPr="00DF58C6">
        <w:rPr>
          <w:i/>
          <w:iCs/>
        </w:rPr>
        <w:t>Enterobacteriaceae</w:t>
      </w:r>
      <w:r w:rsidRPr="00DF58C6">
        <w:t>”</w:t>
      </w:r>
    </w:p>
    <w:p w14:paraId="5A1F6C7C" w14:textId="77777777" w:rsidR="00DF58C6" w:rsidRPr="00DF58C6" w:rsidRDefault="00DF58C6" w:rsidP="00DF58C6">
      <w:pPr>
        <w:widowControl/>
        <w:tabs>
          <w:tab w:val="left" w:pos="851"/>
        </w:tabs>
        <w:spacing w:before="120" w:after="120"/>
        <w:rPr>
          <w:sz w:val="20"/>
          <w:szCs w:val="20"/>
          <w:lang w:bidi="ar-SA"/>
        </w:rPr>
      </w:pPr>
    </w:p>
    <w:p w14:paraId="0291B6F4" w14:textId="77777777" w:rsidR="00DF58C6" w:rsidRPr="00DF58C6" w:rsidRDefault="00DF58C6" w:rsidP="00E70C17">
      <w:pPr>
        <w:pStyle w:val="FSCDraftingitemheading"/>
        <w:rPr>
          <w:b w:val="0"/>
        </w:rPr>
      </w:pPr>
      <w:r w:rsidRPr="00DF58C6">
        <w:t>[26]</w:t>
      </w:r>
      <w:r w:rsidRPr="00DF58C6">
        <w:tab/>
        <w:t>Subparagraph S3—41(q)(iv)</w:t>
      </w:r>
    </w:p>
    <w:p w14:paraId="2B246351" w14:textId="77777777" w:rsidR="00DF58C6" w:rsidRPr="00DF58C6" w:rsidRDefault="00DF58C6" w:rsidP="00E70C17">
      <w:pPr>
        <w:pStyle w:val="FSCDraftingitem"/>
      </w:pPr>
      <w:r w:rsidRPr="00DF58C6">
        <w:tab/>
        <w:t>Omit “</w:t>
      </w:r>
      <w:proofErr w:type="spellStart"/>
      <w:r w:rsidRPr="00DF58C6">
        <w:rPr>
          <w:i/>
          <w:iCs/>
        </w:rPr>
        <w:t>cronobacter</w:t>
      </w:r>
      <w:proofErr w:type="spellEnd"/>
      <w:r w:rsidRPr="00DF58C6">
        <w:t>”, substitute “</w:t>
      </w:r>
      <w:proofErr w:type="spellStart"/>
      <w:r w:rsidRPr="00DF58C6">
        <w:rPr>
          <w:i/>
          <w:iCs/>
        </w:rPr>
        <w:t>Cronobacter</w:t>
      </w:r>
      <w:proofErr w:type="spellEnd"/>
      <w:r w:rsidRPr="00DF58C6">
        <w:t>”</w:t>
      </w:r>
    </w:p>
    <w:p w14:paraId="2E02E881" w14:textId="77777777" w:rsidR="00DF58C6" w:rsidRPr="00DF58C6" w:rsidRDefault="00DF58C6" w:rsidP="00DF58C6">
      <w:pPr>
        <w:spacing w:before="120" w:after="120"/>
        <w:ind w:left="851" w:hanging="851"/>
        <w:rPr>
          <w:b/>
          <w:sz w:val="20"/>
          <w:szCs w:val="20"/>
          <w:lang w:bidi="ar-SA"/>
        </w:rPr>
      </w:pPr>
    </w:p>
    <w:p w14:paraId="409E71AF" w14:textId="77777777" w:rsidR="00DF58C6" w:rsidRPr="00DF58C6" w:rsidRDefault="00DF58C6" w:rsidP="00E70C17">
      <w:pPr>
        <w:pStyle w:val="FSCDraftingitemheading"/>
        <w:rPr>
          <w:b w:val="0"/>
        </w:rPr>
      </w:pPr>
      <w:r w:rsidRPr="00DF58C6">
        <w:t>[27]</w:t>
      </w:r>
      <w:r w:rsidRPr="00DF58C6">
        <w:tab/>
        <w:t>Paragraph S3—42(n)</w:t>
      </w:r>
      <w:r w:rsidRPr="00DF58C6">
        <w:tab/>
      </w:r>
    </w:p>
    <w:p w14:paraId="197C11BB" w14:textId="77777777" w:rsidR="00DF58C6" w:rsidRPr="00DF58C6" w:rsidRDefault="00DF58C6" w:rsidP="00E70C17">
      <w:pPr>
        <w:pStyle w:val="FSCDraftingitem"/>
      </w:pPr>
      <w:r w:rsidRPr="00DF58C6">
        <w:tab/>
        <w:t>Repeal the paragraph, substitute:</w:t>
      </w:r>
    </w:p>
    <w:p w14:paraId="47C0ED87" w14:textId="7440FB98" w:rsidR="00DF58C6" w:rsidRPr="00DF58C6" w:rsidRDefault="00DF58C6" w:rsidP="006B5BEF">
      <w:pPr>
        <w:pStyle w:val="FSCtPara"/>
      </w:pPr>
      <w:r w:rsidRPr="00DF58C6">
        <w:tab/>
      </w:r>
      <w:r w:rsidRPr="00DF58C6">
        <w:tab/>
        <w:t xml:space="preserve"> </w:t>
      </w:r>
      <w:r w:rsidR="00C60D90">
        <w:tab/>
      </w:r>
      <w:r w:rsidRPr="00DF58C6">
        <w:t>(n)</w:t>
      </w:r>
      <w:r w:rsidRPr="00DF58C6">
        <w:tab/>
        <w:t>microbiological:</w:t>
      </w:r>
    </w:p>
    <w:p w14:paraId="4F652F88" w14:textId="2F7640CF" w:rsidR="00DF58C6" w:rsidRPr="00DF58C6" w:rsidRDefault="00DF58C6" w:rsidP="006B5BEF">
      <w:pPr>
        <w:pStyle w:val="FSCtSubpara"/>
      </w:pPr>
      <w:r w:rsidRPr="00DF58C6">
        <w:tab/>
      </w:r>
      <w:r w:rsidRPr="00DF58C6">
        <w:tab/>
      </w:r>
      <w:r w:rsidRPr="00DF58C6">
        <w:tab/>
      </w:r>
      <w:r w:rsidR="00C60D90">
        <w:tab/>
      </w:r>
      <w:r w:rsidRPr="00DF58C6">
        <w:t>(</w:t>
      </w:r>
      <w:proofErr w:type="spellStart"/>
      <w:r w:rsidRPr="00DF58C6">
        <w:t>i</w:t>
      </w:r>
      <w:proofErr w:type="spellEnd"/>
      <w:r w:rsidRPr="00DF58C6">
        <w:t xml:space="preserve">)    </w:t>
      </w:r>
      <w:r w:rsidRPr="00DF58C6">
        <w:rPr>
          <w:i/>
        </w:rPr>
        <w:t>Escherichia coli</w:t>
      </w:r>
      <w:r w:rsidRPr="00DF58C6">
        <w:t>—negative to test;</w:t>
      </w:r>
    </w:p>
    <w:p w14:paraId="77DD45ED" w14:textId="66A11FEF" w:rsidR="00DF58C6" w:rsidRPr="00DF58C6" w:rsidRDefault="00DF58C6" w:rsidP="006B5BEF">
      <w:pPr>
        <w:pStyle w:val="FSCtSubpara"/>
      </w:pPr>
      <w:r w:rsidRPr="00DF58C6">
        <w:tab/>
      </w:r>
      <w:r w:rsidRPr="00DF58C6">
        <w:tab/>
      </w:r>
      <w:r w:rsidR="00C60D90">
        <w:tab/>
      </w:r>
      <w:r w:rsidRPr="00DF58C6">
        <w:tab/>
        <w:t xml:space="preserve">(ii)   </w:t>
      </w:r>
      <w:r w:rsidRPr="00DF58C6">
        <w:rPr>
          <w:i/>
        </w:rPr>
        <w:t>Salmonella</w:t>
      </w:r>
      <w:r w:rsidRPr="00DF58C6">
        <w:t xml:space="preserve"> spp.—negative to test;</w:t>
      </w:r>
    </w:p>
    <w:p w14:paraId="7ED086E9" w14:textId="4E5312C1" w:rsidR="00DF58C6" w:rsidRPr="00DF58C6" w:rsidRDefault="00DF58C6" w:rsidP="006B5BEF">
      <w:pPr>
        <w:pStyle w:val="FSCtSubpara"/>
      </w:pPr>
      <w:r w:rsidRPr="00DF58C6">
        <w:tab/>
      </w:r>
      <w:r w:rsidRPr="00DF58C6">
        <w:tab/>
      </w:r>
      <w:r w:rsidRPr="00DF58C6">
        <w:tab/>
      </w:r>
      <w:r w:rsidR="00C60D90">
        <w:tab/>
      </w:r>
      <w:r w:rsidRPr="00DF58C6">
        <w:t xml:space="preserve">(iii)   </w:t>
      </w:r>
      <w:r w:rsidRPr="00DF58C6">
        <w:rPr>
          <w:i/>
        </w:rPr>
        <w:t>Listeria monocytogenes</w:t>
      </w:r>
      <w:r w:rsidRPr="00DF58C6">
        <w:t>—negative to test.</w:t>
      </w:r>
    </w:p>
    <w:p w14:paraId="20D4958D" w14:textId="77777777" w:rsidR="00DF58C6" w:rsidRPr="00DF58C6" w:rsidRDefault="00DF58C6" w:rsidP="00DF58C6">
      <w:pPr>
        <w:widowControl/>
        <w:tabs>
          <w:tab w:val="left" w:pos="851"/>
        </w:tabs>
        <w:spacing w:before="120" w:after="120"/>
        <w:rPr>
          <w:sz w:val="20"/>
          <w:szCs w:val="20"/>
          <w:lang w:bidi="ar-SA"/>
        </w:rPr>
      </w:pPr>
    </w:p>
    <w:p w14:paraId="167A1446" w14:textId="77777777" w:rsidR="00DF58C6" w:rsidRPr="00DF58C6" w:rsidRDefault="00DF58C6" w:rsidP="00B00117">
      <w:pPr>
        <w:pStyle w:val="FSCDraftingitemheading"/>
        <w:rPr>
          <w:b w:val="0"/>
          <w:bCs/>
        </w:rPr>
      </w:pPr>
      <w:r w:rsidRPr="00DF58C6">
        <w:t>[28]</w:t>
      </w:r>
      <w:r w:rsidRPr="00DF58C6">
        <w:tab/>
        <w:t>Paragraph S3—43(a)</w:t>
      </w:r>
    </w:p>
    <w:p w14:paraId="646870EF" w14:textId="77777777" w:rsidR="00DF58C6" w:rsidRPr="00DF58C6" w:rsidRDefault="00DF58C6" w:rsidP="00B00117">
      <w:pPr>
        <w:pStyle w:val="FSCDraftingitem"/>
      </w:pPr>
      <w:r w:rsidRPr="00DF58C6">
        <w:tab/>
        <w:t>Repeal the paragraph, substitute:</w:t>
      </w:r>
    </w:p>
    <w:p w14:paraId="15C160CF" w14:textId="77777777" w:rsidR="00DF58C6" w:rsidRPr="00DF58C6" w:rsidRDefault="00DF58C6" w:rsidP="00B00117">
      <w:pPr>
        <w:pStyle w:val="FSCtPara"/>
        <w:rPr>
          <w:iCs w:val="0"/>
        </w:rPr>
      </w:pPr>
      <w:r w:rsidRPr="00DF58C6">
        <w:tab/>
      </w:r>
      <w:r w:rsidRPr="00DF58C6">
        <w:tab/>
      </w:r>
      <w:r w:rsidRPr="00DF58C6">
        <w:tab/>
      </w:r>
      <w:r w:rsidRPr="00DF58C6">
        <w:tab/>
        <w:t>(a)</w:t>
      </w:r>
      <w:r w:rsidRPr="00DF58C6">
        <w:tab/>
        <w:t>CAS number—2205009-17-0;</w:t>
      </w:r>
    </w:p>
    <w:p w14:paraId="36ABB2D3" w14:textId="77777777" w:rsidR="00DF58C6" w:rsidRPr="00DF58C6" w:rsidRDefault="00DF58C6" w:rsidP="00DF58C6">
      <w:pPr>
        <w:spacing w:before="120" w:after="120"/>
        <w:ind w:left="851" w:hanging="851"/>
        <w:rPr>
          <w:b/>
          <w:sz w:val="20"/>
          <w:szCs w:val="20"/>
          <w:lang w:bidi="ar-SA"/>
        </w:rPr>
      </w:pPr>
    </w:p>
    <w:p w14:paraId="73F82962" w14:textId="77777777" w:rsidR="00DF58C6" w:rsidRPr="00DF58C6" w:rsidRDefault="00DF58C6" w:rsidP="00B00117">
      <w:pPr>
        <w:pStyle w:val="FSCDraftingitemheading"/>
        <w:rPr>
          <w:b w:val="0"/>
        </w:rPr>
      </w:pPr>
      <w:r w:rsidRPr="00DF58C6">
        <w:t>[29]</w:t>
      </w:r>
      <w:r w:rsidRPr="00DF58C6">
        <w:tab/>
        <w:t>Subparagraph S3—44(2)(h)(iii)</w:t>
      </w:r>
    </w:p>
    <w:p w14:paraId="1258818D" w14:textId="77777777" w:rsidR="00DF58C6" w:rsidRPr="00DF58C6" w:rsidRDefault="00DF58C6" w:rsidP="00B00117">
      <w:pPr>
        <w:pStyle w:val="FSCDraftingitem"/>
      </w:pPr>
      <w:r w:rsidRPr="00DF58C6">
        <w:rPr>
          <w:b/>
        </w:rPr>
        <w:tab/>
      </w:r>
      <w:r w:rsidRPr="00DF58C6">
        <w:t>Omit “Escherichia coli”, substitute “</w:t>
      </w:r>
      <w:r w:rsidRPr="00DF58C6">
        <w:rPr>
          <w:i/>
          <w:iCs/>
        </w:rPr>
        <w:t>Escherichia coli</w:t>
      </w:r>
      <w:r w:rsidRPr="00DF58C6">
        <w:t>”</w:t>
      </w:r>
    </w:p>
    <w:p w14:paraId="2306553A" w14:textId="77777777" w:rsidR="00DF58C6" w:rsidRDefault="00DF58C6" w:rsidP="00DF58C6">
      <w:pPr>
        <w:spacing w:before="120" w:after="120"/>
        <w:ind w:left="851" w:hanging="851"/>
        <w:rPr>
          <w:b/>
          <w:sz w:val="20"/>
          <w:szCs w:val="20"/>
          <w:lang w:bidi="ar-SA"/>
        </w:rPr>
      </w:pPr>
    </w:p>
    <w:p w14:paraId="55A4F85F" w14:textId="1386520C" w:rsidR="00DF58C6" w:rsidRPr="0025436E" w:rsidRDefault="00DF58C6" w:rsidP="0025436E">
      <w:pPr>
        <w:pStyle w:val="FSCDraftingitemheading"/>
      </w:pPr>
      <w:r w:rsidRPr="00DF58C6">
        <w:t>Schedule 14 Technological purposes performed by substances used as food additives</w:t>
      </w:r>
    </w:p>
    <w:p w14:paraId="34D92B94" w14:textId="77777777" w:rsidR="00DF58C6" w:rsidRPr="00DF58C6" w:rsidRDefault="00DF58C6" w:rsidP="0025436E">
      <w:pPr>
        <w:pStyle w:val="FSCDraftingitemheading"/>
        <w:rPr>
          <w:b w:val="0"/>
        </w:rPr>
      </w:pPr>
      <w:r w:rsidRPr="00DF58C6">
        <w:lastRenderedPageBreak/>
        <w:t>[30]</w:t>
      </w:r>
      <w:r w:rsidRPr="00DF58C6">
        <w:tab/>
        <w:t>Section S14—2 (table entry “Preservative”, column 2)</w:t>
      </w:r>
    </w:p>
    <w:p w14:paraId="0A69A928" w14:textId="77777777" w:rsidR="00DF58C6" w:rsidRPr="00DF58C6" w:rsidRDefault="00DF58C6" w:rsidP="0025436E">
      <w:pPr>
        <w:pStyle w:val="FSCDraftingitem"/>
      </w:pPr>
      <w:r w:rsidRPr="00DF58C6">
        <w:tab/>
      </w:r>
      <w:bookmarkStart w:id="118" w:name="_Hlk118365976"/>
      <w:r w:rsidRPr="00DF58C6">
        <w:t>Omit:</w:t>
      </w:r>
    </w:p>
    <w:p w14:paraId="128B1596" w14:textId="77777777" w:rsidR="00DF58C6" w:rsidRPr="00DF58C6" w:rsidRDefault="00DF58C6" w:rsidP="003361CF">
      <w:pPr>
        <w:pStyle w:val="FSCtblMain"/>
      </w:pPr>
      <w:r w:rsidRPr="00DF58C6">
        <w:t xml:space="preserve">anti-microbial preservative, anti-mycotic agent, </w:t>
      </w:r>
    </w:p>
    <w:p w14:paraId="7CC7DBDA" w14:textId="77777777" w:rsidR="00DF58C6" w:rsidRPr="00DF58C6" w:rsidRDefault="00DF58C6" w:rsidP="0025436E">
      <w:pPr>
        <w:pStyle w:val="FSCDraftingitem"/>
      </w:pPr>
      <w:r w:rsidRPr="00DF58C6">
        <w:tab/>
        <w:t>substitute:</w:t>
      </w:r>
    </w:p>
    <w:p w14:paraId="1A4A3B86" w14:textId="77777777" w:rsidR="00DF58C6" w:rsidRPr="00DF58C6" w:rsidRDefault="00DF58C6" w:rsidP="003361CF">
      <w:pPr>
        <w:pStyle w:val="FSCtblMain"/>
      </w:pPr>
      <w:r w:rsidRPr="00DF58C6">
        <w:t xml:space="preserve">antimicrobial preservative, antimycotic agent, </w:t>
      </w:r>
      <w:bookmarkEnd w:id="118"/>
    </w:p>
    <w:p w14:paraId="2CDA4AF0" w14:textId="77777777" w:rsidR="00DF58C6" w:rsidRPr="00DF58C6" w:rsidRDefault="00DF58C6" w:rsidP="00DF58C6">
      <w:pPr>
        <w:widowControl/>
        <w:autoSpaceDE w:val="0"/>
        <w:autoSpaceDN w:val="0"/>
        <w:adjustRightInd w:val="0"/>
        <w:rPr>
          <w:rFonts w:cs="Arial"/>
          <w:color w:val="000000"/>
          <w:sz w:val="18"/>
          <w:szCs w:val="18"/>
          <w:lang w:val="en-AU" w:eastAsia="en-GB" w:bidi="ar-SA"/>
        </w:rPr>
      </w:pPr>
    </w:p>
    <w:p w14:paraId="4D79A910" w14:textId="77777777" w:rsidR="00DF58C6" w:rsidRPr="008B4467" w:rsidRDefault="00DF58C6" w:rsidP="008B4467">
      <w:pPr>
        <w:pStyle w:val="FSCDraftingitemheading"/>
      </w:pPr>
      <w:r w:rsidRPr="00DF58C6">
        <w:t>Schedule 18 Processing aids</w:t>
      </w:r>
    </w:p>
    <w:p w14:paraId="4F57966A" w14:textId="77777777" w:rsidR="00DF58C6" w:rsidRPr="00DF58C6" w:rsidRDefault="00DF58C6" w:rsidP="008B4467">
      <w:pPr>
        <w:pStyle w:val="FSCDraftingitemheading"/>
        <w:rPr>
          <w:b w:val="0"/>
        </w:rPr>
      </w:pPr>
      <w:r w:rsidRPr="00DF58C6">
        <w:t>[31]</w:t>
      </w:r>
      <w:r w:rsidRPr="00DF58C6">
        <w:tab/>
        <w:t>Subsection S18—4(2) (note 3)</w:t>
      </w:r>
    </w:p>
    <w:p w14:paraId="6E3244E9" w14:textId="77777777" w:rsidR="00DF58C6" w:rsidRPr="00DF58C6" w:rsidRDefault="00DF58C6" w:rsidP="008B4467">
      <w:pPr>
        <w:pStyle w:val="FSCDraftingitem"/>
      </w:pPr>
      <w:r w:rsidRPr="00DF58C6">
        <w:tab/>
        <w:t>Repeal the note, substitute:</w:t>
      </w:r>
    </w:p>
    <w:p w14:paraId="198A87C6" w14:textId="77777777" w:rsidR="00DF58C6" w:rsidRPr="00DF58C6" w:rsidRDefault="00DF58C6" w:rsidP="005C56E0">
      <w:pPr>
        <w:pStyle w:val="FSCnMain"/>
      </w:pPr>
      <w:r w:rsidRPr="00DF58C6">
        <w:tab/>
      </w:r>
      <w:r w:rsidRPr="00DF58C6">
        <w:rPr>
          <w:b/>
          <w:bCs/>
          <w:i/>
          <w:iCs/>
        </w:rPr>
        <w:t>Note 3</w:t>
      </w:r>
      <w:r w:rsidRPr="00DF58C6">
        <w:tab/>
        <w:t>Some enzyme sources identified in this section are protein engineered. If such an enzyme is used as a processing aid, the resulting food may have as an ingredient a food produced using gene technology, and the requirements relating to foods produced using gene technology will apply—see Standard 1.2.1 and Standard 1.5.2. The relevant enzymes are the following:</w:t>
      </w:r>
    </w:p>
    <w:p w14:paraId="72876469" w14:textId="77777777" w:rsidR="00DF58C6" w:rsidRPr="00DF58C6" w:rsidRDefault="00DF58C6" w:rsidP="005C56E0">
      <w:pPr>
        <w:pStyle w:val="FSCnMain"/>
        <w:ind w:left="4536"/>
      </w:pPr>
      <w:r w:rsidRPr="00DF58C6">
        <w:t>● Endo-1,4-beta-xylanase, protein engineered variant;</w:t>
      </w:r>
    </w:p>
    <w:p w14:paraId="4F23F3CC" w14:textId="77777777" w:rsidR="00DF58C6" w:rsidRPr="00DF58C6" w:rsidRDefault="00DF58C6" w:rsidP="005C56E0">
      <w:pPr>
        <w:pStyle w:val="FSCnMain"/>
        <w:ind w:left="4536"/>
      </w:pPr>
      <w:r w:rsidRPr="00DF58C6">
        <w:t>● Glycerophospholipid cholesterol acyltransferase, protein engineered variant;</w:t>
      </w:r>
    </w:p>
    <w:p w14:paraId="314CC96E" w14:textId="77777777" w:rsidR="00DF58C6" w:rsidRPr="00DF58C6" w:rsidRDefault="00DF58C6" w:rsidP="005C56E0">
      <w:pPr>
        <w:pStyle w:val="FSCnMain"/>
        <w:ind w:left="4536"/>
      </w:pPr>
      <w:r w:rsidRPr="00DF58C6">
        <w:t>● Lipase, triacylglycerol, protein engineered variant;</w:t>
      </w:r>
    </w:p>
    <w:p w14:paraId="69D83F26" w14:textId="77777777" w:rsidR="00DF58C6" w:rsidRPr="00DF58C6" w:rsidRDefault="00DF58C6" w:rsidP="005C56E0">
      <w:pPr>
        <w:pStyle w:val="FSCnMain"/>
        <w:ind w:left="4536"/>
      </w:pPr>
      <w:r w:rsidRPr="00DF58C6">
        <w:t xml:space="preserve">● </w:t>
      </w:r>
      <w:proofErr w:type="spellStart"/>
      <w:r w:rsidRPr="00DF58C6">
        <w:t>Maltotetraohydrolase</w:t>
      </w:r>
      <w:proofErr w:type="spellEnd"/>
      <w:r w:rsidRPr="00DF58C6">
        <w:t>, protein engineered variant.</w:t>
      </w:r>
    </w:p>
    <w:p w14:paraId="27FB8BDE" w14:textId="77777777" w:rsidR="00DF58C6" w:rsidRPr="00DF58C6" w:rsidRDefault="00DF58C6" w:rsidP="00DF58C6">
      <w:pPr>
        <w:widowControl/>
        <w:tabs>
          <w:tab w:val="left" w:pos="851"/>
        </w:tabs>
        <w:spacing w:before="120" w:after="120"/>
        <w:rPr>
          <w:sz w:val="20"/>
          <w:szCs w:val="20"/>
          <w:lang w:bidi="ar-SA"/>
        </w:rPr>
      </w:pPr>
    </w:p>
    <w:p w14:paraId="78318F2C" w14:textId="77777777" w:rsidR="00DF58C6" w:rsidRPr="00DF58C6" w:rsidRDefault="00DF58C6" w:rsidP="00810944">
      <w:pPr>
        <w:pStyle w:val="FSCDraftingitemheading"/>
        <w:rPr>
          <w:b w:val="0"/>
        </w:rPr>
      </w:pPr>
      <w:r w:rsidRPr="00DF58C6">
        <w:t>[32]</w:t>
      </w:r>
      <w:r w:rsidRPr="00DF58C6">
        <w:tab/>
        <w:t>Subsection S18—9(3) (table entry for “1-Hydroxyethylidene-1, 1-diphosphonic acid”, column 2)</w:t>
      </w:r>
    </w:p>
    <w:p w14:paraId="204E8EC9" w14:textId="77777777" w:rsidR="00DF58C6" w:rsidRPr="00DF58C6" w:rsidRDefault="00DF58C6" w:rsidP="00810944">
      <w:pPr>
        <w:pStyle w:val="FSCDraftingitem"/>
      </w:pPr>
      <w:r w:rsidRPr="00DF58C6">
        <w:rPr>
          <w:b/>
          <w:bCs/>
        </w:rPr>
        <w:tab/>
      </w:r>
      <w:r w:rsidRPr="00DF58C6">
        <w:t>Omit “anti-microbial”, substitute “antimicrobial”</w:t>
      </w:r>
    </w:p>
    <w:p w14:paraId="00C87BFB" w14:textId="77777777" w:rsidR="00DF58C6" w:rsidRPr="00DF58C6" w:rsidRDefault="00DF58C6" w:rsidP="00DF58C6">
      <w:pPr>
        <w:widowControl/>
        <w:tabs>
          <w:tab w:val="left" w:pos="851"/>
        </w:tabs>
        <w:spacing w:before="120" w:after="120"/>
        <w:rPr>
          <w:sz w:val="20"/>
          <w:szCs w:val="20"/>
          <w:lang w:bidi="ar-SA"/>
        </w:rPr>
      </w:pPr>
    </w:p>
    <w:p w14:paraId="26490030" w14:textId="77777777" w:rsidR="00DF58C6" w:rsidRPr="00DF58C6" w:rsidRDefault="00DF58C6" w:rsidP="00810944">
      <w:pPr>
        <w:pStyle w:val="FSCDraftingitemheading"/>
        <w:rPr>
          <w:b w:val="0"/>
        </w:rPr>
      </w:pPr>
      <w:r w:rsidRPr="00DF58C6">
        <w:rPr>
          <w:bCs/>
        </w:rPr>
        <w:t>[33]</w:t>
      </w:r>
      <w:r w:rsidRPr="00DF58C6">
        <w:rPr>
          <w:bCs/>
        </w:rPr>
        <w:tab/>
      </w:r>
      <w:r w:rsidRPr="00DF58C6">
        <w:t>Subsection S18—9(3) (table, column 2)</w:t>
      </w:r>
    </w:p>
    <w:p w14:paraId="5998E729" w14:textId="77777777" w:rsidR="00DF58C6" w:rsidRPr="00DF58C6" w:rsidRDefault="00DF58C6" w:rsidP="00810944">
      <w:pPr>
        <w:pStyle w:val="FSCDraftingitem"/>
      </w:pPr>
      <w:r w:rsidRPr="00DF58C6">
        <w:tab/>
        <w:t>Omit “Anti-microbial” wherever occurring, substitute “Antimicrobial”</w:t>
      </w:r>
    </w:p>
    <w:p w14:paraId="59E8FE4D" w14:textId="77777777" w:rsidR="00DF58C6" w:rsidRPr="00DF58C6" w:rsidRDefault="00DF58C6" w:rsidP="00DF58C6">
      <w:pPr>
        <w:widowControl/>
        <w:tabs>
          <w:tab w:val="left" w:pos="851"/>
        </w:tabs>
        <w:spacing w:before="120" w:after="120"/>
        <w:rPr>
          <w:sz w:val="20"/>
          <w:szCs w:val="20"/>
          <w:lang w:bidi="ar-SA"/>
        </w:rPr>
      </w:pPr>
    </w:p>
    <w:p w14:paraId="5A70AF6E" w14:textId="77777777" w:rsidR="00DF58C6" w:rsidRPr="00DF58C6" w:rsidRDefault="00DF58C6" w:rsidP="00810944">
      <w:pPr>
        <w:pStyle w:val="FSCDraftingitemheading"/>
        <w:rPr>
          <w:b w:val="0"/>
        </w:rPr>
      </w:pPr>
      <w:r w:rsidRPr="00DF58C6">
        <w:t>[34]</w:t>
      </w:r>
      <w:r w:rsidRPr="00DF58C6">
        <w:tab/>
        <w:t>Section S18—11</w:t>
      </w:r>
    </w:p>
    <w:p w14:paraId="3006F889" w14:textId="77777777" w:rsidR="00DF58C6" w:rsidRPr="00DF58C6" w:rsidRDefault="00DF58C6" w:rsidP="00810944">
      <w:pPr>
        <w:pStyle w:val="FSCDraftingitem"/>
      </w:pPr>
      <w:r w:rsidRPr="00DF58C6">
        <w:tab/>
        <w:t>Omit “anti-microbial” wherever occurring, substitute “antimicrobial”</w:t>
      </w:r>
    </w:p>
    <w:p w14:paraId="167976FD" w14:textId="77777777" w:rsidR="00DF58C6" w:rsidRPr="00DF58C6" w:rsidRDefault="00DF58C6" w:rsidP="00DF58C6">
      <w:pPr>
        <w:widowControl/>
        <w:tabs>
          <w:tab w:val="left" w:pos="851"/>
        </w:tabs>
        <w:spacing w:before="120" w:after="120"/>
        <w:rPr>
          <w:sz w:val="20"/>
          <w:szCs w:val="20"/>
          <w:lang w:bidi="ar-SA"/>
        </w:rPr>
      </w:pPr>
    </w:p>
    <w:p w14:paraId="4CD68BDF" w14:textId="77777777" w:rsidR="00DF58C6" w:rsidRPr="001A62A5" w:rsidRDefault="00DF58C6" w:rsidP="001A62A5">
      <w:pPr>
        <w:pStyle w:val="FSCDraftingitemheading"/>
      </w:pPr>
      <w:r w:rsidRPr="00DF58C6">
        <w:t>Schedule 20 Maximum residue limits</w:t>
      </w:r>
    </w:p>
    <w:p w14:paraId="5DC0BA2F" w14:textId="77777777" w:rsidR="00DF58C6" w:rsidRPr="001A62A5" w:rsidRDefault="00DF58C6" w:rsidP="001A62A5">
      <w:pPr>
        <w:pStyle w:val="FSCDraftingitemheading"/>
      </w:pPr>
      <w:r w:rsidRPr="00DF58C6">
        <w:t>[35]</w:t>
      </w:r>
      <w:r w:rsidRPr="00DF58C6">
        <w:tab/>
        <w:t xml:space="preserve">Section S20—3 (table entries for </w:t>
      </w:r>
      <w:proofErr w:type="spellStart"/>
      <w:r w:rsidRPr="00DF58C6">
        <w:t>Agvet</w:t>
      </w:r>
      <w:proofErr w:type="spellEnd"/>
      <w:r w:rsidRPr="00DF58C6">
        <w:t xml:space="preserve"> chemicals: </w:t>
      </w:r>
      <w:proofErr w:type="spellStart"/>
      <w:r w:rsidRPr="00DF58C6">
        <w:t>Amisulbrom</w:t>
      </w:r>
      <w:proofErr w:type="spellEnd"/>
      <w:r w:rsidRPr="00DF58C6">
        <w:t xml:space="preserve">, Cyproconazole, </w:t>
      </w:r>
      <w:proofErr w:type="spellStart"/>
      <w:r w:rsidRPr="00DF58C6">
        <w:t>Diafenthiuron</w:t>
      </w:r>
      <w:proofErr w:type="spellEnd"/>
      <w:r w:rsidRPr="00DF58C6">
        <w:t xml:space="preserve">, Dinotefuran, </w:t>
      </w:r>
      <w:proofErr w:type="spellStart"/>
      <w:r w:rsidRPr="00DF58C6">
        <w:t>Metalaxyl</w:t>
      </w:r>
      <w:proofErr w:type="spellEnd"/>
      <w:r w:rsidRPr="00DF58C6">
        <w:t xml:space="preserve"> and </w:t>
      </w:r>
      <w:proofErr w:type="spellStart"/>
      <w:r w:rsidRPr="00DF58C6">
        <w:t>Tetraniliprole</w:t>
      </w:r>
      <w:proofErr w:type="spellEnd"/>
      <w:r w:rsidRPr="00DF58C6">
        <w:t>)</w:t>
      </w:r>
    </w:p>
    <w:p w14:paraId="45B3848D" w14:textId="77777777" w:rsidR="00DF58C6" w:rsidRPr="00DF58C6" w:rsidRDefault="00DF58C6" w:rsidP="001A62A5">
      <w:pPr>
        <w:pStyle w:val="FSCDraftingitem"/>
      </w:pPr>
      <w:r w:rsidRPr="00DF58C6">
        <w:tab/>
        <w:t>Omit:</w:t>
      </w:r>
    </w:p>
    <w:p w14:paraId="12F0E925" w14:textId="77777777" w:rsidR="00DF58C6" w:rsidRPr="00DF58C6" w:rsidRDefault="00DF58C6" w:rsidP="0056448C">
      <w:pPr>
        <w:pStyle w:val="FSCtblMRL1"/>
      </w:pPr>
      <w:r w:rsidRPr="00DF58C6">
        <w:t>All other foods except animal commodities</w:t>
      </w:r>
    </w:p>
    <w:p w14:paraId="3F2CF4B4" w14:textId="77777777" w:rsidR="00DF58C6" w:rsidRPr="00DF58C6" w:rsidRDefault="00DF58C6" w:rsidP="001A62A5">
      <w:pPr>
        <w:pStyle w:val="FSCDraftingitem"/>
      </w:pPr>
      <w:r w:rsidRPr="00DF58C6">
        <w:tab/>
        <w:t>substitute:</w:t>
      </w:r>
    </w:p>
    <w:p w14:paraId="3AB46313" w14:textId="77777777" w:rsidR="00DF58C6" w:rsidRPr="00DF58C6" w:rsidRDefault="00DF58C6" w:rsidP="0056448C">
      <w:pPr>
        <w:pStyle w:val="FSCtblMRL1"/>
      </w:pPr>
      <w:r w:rsidRPr="00DF58C6">
        <w:t>All other foods except animal food commodities</w:t>
      </w:r>
    </w:p>
    <w:p w14:paraId="65A159B6" w14:textId="77777777" w:rsidR="00DF58C6" w:rsidRDefault="00DF58C6" w:rsidP="00DF58C6">
      <w:pPr>
        <w:spacing w:before="120" w:after="120"/>
        <w:ind w:left="851" w:hanging="851"/>
        <w:rPr>
          <w:b/>
          <w:sz w:val="20"/>
          <w:szCs w:val="20"/>
          <w:lang w:bidi="ar-SA"/>
        </w:rPr>
      </w:pPr>
    </w:p>
    <w:p w14:paraId="1D0910EB" w14:textId="246584B8" w:rsidR="00DF58C6" w:rsidRPr="00DF58C6" w:rsidRDefault="00DF58C6" w:rsidP="001A62A5">
      <w:pPr>
        <w:pStyle w:val="FSCDraftingitemheading"/>
        <w:rPr>
          <w:b w:val="0"/>
        </w:rPr>
      </w:pPr>
      <w:r w:rsidRPr="00DF58C6">
        <w:t>[36]</w:t>
      </w:r>
      <w:r w:rsidRPr="00DF58C6">
        <w:tab/>
        <w:t xml:space="preserve">Section S20—3 (table entry for </w:t>
      </w:r>
      <w:proofErr w:type="spellStart"/>
      <w:r w:rsidRPr="00DF58C6">
        <w:t>Agvet</w:t>
      </w:r>
      <w:proofErr w:type="spellEnd"/>
      <w:r w:rsidRPr="00DF58C6">
        <w:t xml:space="preserve"> chemical: </w:t>
      </w:r>
      <w:proofErr w:type="spellStart"/>
      <w:r w:rsidRPr="00DF58C6">
        <w:t>Bifenazate</w:t>
      </w:r>
      <w:proofErr w:type="spellEnd"/>
      <w:r w:rsidRPr="00DF58C6">
        <w:t>)</w:t>
      </w:r>
    </w:p>
    <w:p w14:paraId="7FDAB898" w14:textId="77777777" w:rsidR="00DF58C6" w:rsidRPr="00DF58C6" w:rsidRDefault="00DF58C6" w:rsidP="001A62A5">
      <w:pPr>
        <w:pStyle w:val="FSCDraftingitem"/>
      </w:pPr>
      <w:r w:rsidRPr="00DF58C6">
        <w:tab/>
        <w:t>Omit: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DF58C6" w:rsidRPr="00DF58C6" w14:paraId="015603C2" w14:textId="77777777">
        <w:tc>
          <w:tcPr>
            <w:tcW w:w="3539" w:type="dxa"/>
            <w:hideMark/>
          </w:tcPr>
          <w:p w14:paraId="04E8AC63" w14:textId="77777777" w:rsidR="00DF58C6" w:rsidRPr="00DF58C6" w:rsidRDefault="00DF58C6" w:rsidP="003B6F48">
            <w:pPr>
              <w:pStyle w:val="FSCtblMRL1"/>
            </w:pPr>
            <w:r w:rsidRPr="00DF58C6">
              <w:t>Peach</w:t>
            </w:r>
          </w:p>
        </w:tc>
        <w:tc>
          <w:tcPr>
            <w:tcW w:w="1134" w:type="dxa"/>
            <w:hideMark/>
          </w:tcPr>
          <w:p w14:paraId="6D2A0D88" w14:textId="77777777" w:rsidR="00DF58C6" w:rsidRPr="00DF58C6" w:rsidRDefault="00DF58C6" w:rsidP="00797A2D">
            <w:pPr>
              <w:pStyle w:val="FSCtblMRL2"/>
            </w:pPr>
            <w:r w:rsidRPr="00DF58C6">
              <w:t>2</w:t>
            </w:r>
          </w:p>
        </w:tc>
      </w:tr>
      <w:tr w:rsidR="00DF58C6" w:rsidRPr="00DF58C6" w14:paraId="4EDAF20C" w14:textId="77777777">
        <w:tc>
          <w:tcPr>
            <w:tcW w:w="3539" w:type="dxa"/>
            <w:hideMark/>
          </w:tcPr>
          <w:p w14:paraId="5BDAEBF0" w14:textId="77777777" w:rsidR="00DF58C6" w:rsidRPr="00DF58C6" w:rsidRDefault="00DF58C6" w:rsidP="003B6F48">
            <w:pPr>
              <w:pStyle w:val="FSCtblMRL1"/>
            </w:pPr>
            <w:r w:rsidRPr="00DF58C6">
              <w:t>Peppers, chili</w:t>
            </w:r>
          </w:p>
        </w:tc>
        <w:tc>
          <w:tcPr>
            <w:tcW w:w="1134" w:type="dxa"/>
            <w:hideMark/>
          </w:tcPr>
          <w:p w14:paraId="789A3472" w14:textId="77777777" w:rsidR="00DF58C6" w:rsidRPr="00DF58C6" w:rsidRDefault="00DF58C6" w:rsidP="00797A2D">
            <w:pPr>
              <w:pStyle w:val="FSCtblMRL2"/>
            </w:pPr>
            <w:r w:rsidRPr="00DF58C6">
              <w:t>3</w:t>
            </w:r>
          </w:p>
        </w:tc>
      </w:tr>
      <w:tr w:rsidR="00DF58C6" w:rsidRPr="00DF58C6" w14:paraId="2822BAFD" w14:textId="77777777">
        <w:tc>
          <w:tcPr>
            <w:tcW w:w="3539" w:type="dxa"/>
            <w:hideMark/>
          </w:tcPr>
          <w:p w14:paraId="4084A148" w14:textId="77777777" w:rsidR="00DF58C6" w:rsidRPr="00DF58C6" w:rsidRDefault="00DF58C6" w:rsidP="003B6F48">
            <w:pPr>
              <w:pStyle w:val="FSCtblMRL1"/>
            </w:pPr>
            <w:r w:rsidRPr="00DF58C6">
              <w:t>Podded pea (young pods) (snow and sugar snap)</w:t>
            </w:r>
          </w:p>
        </w:tc>
        <w:tc>
          <w:tcPr>
            <w:tcW w:w="1134" w:type="dxa"/>
            <w:hideMark/>
          </w:tcPr>
          <w:p w14:paraId="3B2C28B7" w14:textId="77777777" w:rsidR="00DF58C6" w:rsidRPr="00DF58C6" w:rsidRDefault="00DF58C6" w:rsidP="00797A2D">
            <w:pPr>
              <w:pStyle w:val="FSCtblMRL2"/>
            </w:pPr>
            <w:r w:rsidRPr="00DF58C6">
              <w:t>T1</w:t>
            </w:r>
          </w:p>
        </w:tc>
      </w:tr>
      <w:tr w:rsidR="00DF58C6" w:rsidRPr="00DF58C6" w14:paraId="62B87EE3" w14:textId="77777777">
        <w:tc>
          <w:tcPr>
            <w:tcW w:w="3539" w:type="dxa"/>
            <w:hideMark/>
          </w:tcPr>
          <w:p w14:paraId="576C52D3" w14:textId="77777777" w:rsidR="00DF58C6" w:rsidRPr="00DF58C6" w:rsidRDefault="00DF58C6" w:rsidP="003B6F48">
            <w:pPr>
              <w:pStyle w:val="FSCtblMRL1"/>
            </w:pPr>
            <w:r w:rsidRPr="00DF58C6">
              <w:t>Poultry, edible offal of</w:t>
            </w:r>
          </w:p>
        </w:tc>
        <w:tc>
          <w:tcPr>
            <w:tcW w:w="1134" w:type="dxa"/>
            <w:hideMark/>
          </w:tcPr>
          <w:p w14:paraId="71B25D76" w14:textId="77777777" w:rsidR="00DF58C6" w:rsidRPr="00DF58C6" w:rsidRDefault="00DF58C6" w:rsidP="00797A2D">
            <w:pPr>
              <w:pStyle w:val="FSCtblMRL2"/>
            </w:pPr>
            <w:r w:rsidRPr="00DF58C6">
              <w:t>*0.01</w:t>
            </w:r>
          </w:p>
        </w:tc>
      </w:tr>
      <w:tr w:rsidR="00DF58C6" w:rsidRPr="00DF58C6" w14:paraId="3918FA2F" w14:textId="77777777">
        <w:tc>
          <w:tcPr>
            <w:tcW w:w="3539" w:type="dxa"/>
            <w:hideMark/>
          </w:tcPr>
          <w:p w14:paraId="5AE8B097" w14:textId="77777777" w:rsidR="00DF58C6" w:rsidRPr="00DF58C6" w:rsidRDefault="00DF58C6" w:rsidP="003B6F48">
            <w:pPr>
              <w:pStyle w:val="FSCtblMRL1"/>
            </w:pPr>
            <w:r w:rsidRPr="00DF58C6">
              <w:t>Poultry meat</w:t>
            </w:r>
          </w:p>
        </w:tc>
        <w:tc>
          <w:tcPr>
            <w:tcW w:w="1134" w:type="dxa"/>
            <w:hideMark/>
          </w:tcPr>
          <w:p w14:paraId="2BCB80CD" w14:textId="77777777" w:rsidR="00DF58C6" w:rsidRPr="00DF58C6" w:rsidRDefault="00DF58C6" w:rsidP="00797A2D">
            <w:pPr>
              <w:pStyle w:val="FSCtblMRL2"/>
            </w:pPr>
            <w:r w:rsidRPr="00DF58C6">
              <w:t>*0.01</w:t>
            </w:r>
          </w:p>
        </w:tc>
      </w:tr>
      <w:tr w:rsidR="00DF58C6" w:rsidRPr="00DF58C6" w14:paraId="3BEC35DF" w14:textId="77777777">
        <w:tc>
          <w:tcPr>
            <w:tcW w:w="3539" w:type="dxa"/>
            <w:hideMark/>
          </w:tcPr>
          <w:p w14:paraId="0E42C261" w14:textId="77777777" w:rsidR="00DF58C6" w:rsidRPr="00DF58C6" w:rsidRDefault="00DF58C6" w:rsidP="003B6F48">
            <w:pPr>
              <w:pStyle w:val="FSCtblMRL1"/>
            </w:pPr>
            <w:r w:rsidRPr="00DF58C6">
              <w:lastRenderedPageBreak/>
              <w:t>Plums (including prunes)</w:t>
            </w:r>
          </w:p>
        </w:tc>
        <w:tc>
          <w:tcPr>
            <w:tcW w:w="1134" w:type="dxa"/>
            <w:hideMark/>
          </w:tcPr>
          <w:p w14:paraId="3227CCE5" w14:textId="77777777" w:rsidR="00DF58C6" w:rsidRPr="00DF58C6" w:rsidRDefault="00DF58C6" w:rsidP="00797A2D">
            <w:pPr>
              <w:pStyle w:val="FSCtblMRL2"/>
            </w:pPr>
            <w:r w:rsidRPr="00DF58C6">
              <w:t>0.5</w:t>
            </w:r>
          </w:p>
        </w:tc>
      </w:tr>
      <w:tr w:rsidR="00DF58C6" w:rsidRPr="00DF58C6" w14:paraId="119D2053" w14:textId="77777777">
        <w:tc>
          <w:tcPr>
            <w:tcW w:w="3539" w:type="dxa"/>
            <w:hideMark/>
          </w:tcPr>
          <w:p w14:paraId="6FDB8D31" w14:textId="77777777" w:rsidR="00DF58C6" w:rsidRPr="00DF58C6" w:rsidRDefault="00DF58C6" w:rsidP="003B6F48">
            <w:pPr>
              <w:pStyle w:val="FSCtblMRL1"/>
            </w:pPr>
            <w:r w:rsidRPr="00DF58C6">
              <w:t>Pome fruits [except Persimmon, Japanese]</w:t>
            </w:r>
          </w:p>
        </w:tc>
        <w:tc>
          <w:tcPr>
            <w:tcW w:w="1134" w:type="dxa"/>
            <w:hideMark/>
          </w:tcPr>
          <w:p w14:paraId="54C48131" w14:textId="77777777" w:rsidR="00DF58C6" w:rsidRPr="00DF58C6" w:rsidRDefault="00DF58C6" w:rsidP="00797A2D">
            <w:pPr>
              <w:pStyle w:val="FSCtblMRL2"/>
            </w:pPr>
            <w:r w:rsidRPr="00DF58C6">
              <w:t>2</w:t>
            </w:r>
          </w:p>
        </w:tc>
      </w:tr>
    </w:tbl>
    <w:p w14:paraId="53EDDCBA" w14:textId="77777777" w:rsidR="00DF58C6" w:rsidRPr="00DF58C6" w:rsidRDefault="00DF58C6" w:rsidP="00DF58C6">
      <w:pPr>
        <w:keepLines/>
        <w:widowControl/>
        <w:spacing w:before="20" w:after="20"/>
        <w:rPr>
          <w:rFonts w:cs="Arial"/>
          <w:sz w:val="18"/>
          <w:szCs w:val="20"/>
          <w:lang w:eastAsia="en-AU" w:bidi="ar-SA"/>
        </w:rPr>
      </w:pPr>
    </w:p>
    <w:p w14:paraId="6739BDD5" w14:textId="77777777" w:rsidR="00DF58C6" w:rsidRPr="00DF58C6" w:rsidRDefault="00DF58C6" w:rsidP="001A62A5">
      <w:pPr>
        <w:pStyle w:val="FSCDraftingitem"/>
      </w:pPr>
      <w:r w:rsidRPr="00DF58C6">
        <w:tab/>
        <w:t>substitute:</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DF58C6" w:rsidRPr="00DF58C6" w14:paraId="5840A0C0" w14:textId="77777777">
        <w:tc>
          <w:tcPr>
            <w:tcW w:w="3539" w:type="dxa"/>
            <w:hideMark/>
          </w:tcPr>
          <w:p w14:paraId="2D3494A8" w14:textId="77777777" w:rsidR="00DF58C6" w:rsidRPr="00DF58C6" w:rsidRDefault="00DF58C6" w:rsidP="003B6F48">
            <w:pPr>
              <w:pStyle w:val="FSCtblMRL1"/>
            </w:pPr>
            <w:r w:rsidRPr="00DF58C6">
              <w:t>Peach</w:t>
            </w:r>
          </w:p>
        </w:tc>
        <w:tc>
          <w:tcPr>
            <w:tcW w:w="1134" w:type="dxa"/>
            <w:hideMark/>
          </w:tcPr>
          <w:p w14:paraId="5537C9AC" w14:textId="77777777" w:rsidR="00DF58C6" w:rsidRPr="00797A2D" w:rsidRDefault="00DF58C6" w:rsidP="00797A2D">
            <w:pPr>
              <w:pStyle w:val="FSCtblMRL2"/>
            </w:pPr>
            <w:r w:rsidRPr="00797A2D">
              <w:t>2</w:t>
            </w:r>
          </w:p>
        </w:tc>
      </w:tr>
      <w:tr w:rsidR="00DF58C6" w:rsidRPr="00DF58C6" w14:paraId="6ED331DA" w14:textId="77777777">
        <w:tc>
          <w:tcPr>
            <w:tcW w:w="3539" w:type="dxa"/>
            <w:hideMark/>
          </w:tcPr>
          <w:p w14:paraId="4263DAB7" w14:textId="77777777" w:rsidR="00DF58C6" w:rsidRPr="00DF58C6" w:rsidRDefault="00DF58C6" w:rsidP="003B6F48">
            <w:pPr>
              <w:pStyle w:val="FSCtblMRL1"/>
            </w:pPr>
            <w:r w:rsidRPr="00DF58C6">
              <w:t>Peppers, chili</w:t>
            </w:r>
          </w:p>
        </w:tc>
        <w:tc>
          <w:tcPr>
            <w:tcW w:w="1134" w:type="dxa"/>
            <w:hideMark/>
          </w:tcPr>
          <w:p w14:paraId="0BCA66B7" w14:textId="77777777" w:rsidR="00DF58C6" w:rsidRPr="00797A2D" w:rsidRDefault="00DF58C6" w:rsidP="00797A2D">
            <w:pPr>
              <w:pStyle w:val="FSCtblMRL2"/>
            </w:pPr>
            <w:r w:rsidRPr="00797A2D">
              <w:t>3</w:t>
            </w:r>
          </w:p>
        </w:tc>
      </w:tr>
      <w:tr w:rsidR="00DF58C6" w:rsidRPr="00DF58C6" w14:paraId="04A993AD" w14:textId="77777777">
        <w:tc>
          <w:tcPr>
            <w:tcW w:w="3539" w:type="dxa"/>
            <w:hideMark/>
          </w:tcPr>
          <w:p w14:paraId="372C5AF4" w14:textId="77777777" w:rsidR="00DF58C6" w:rsidRPr="00DF58C6" w:rsidRDefault="00DF58C6" w:rsidP="003B6F48">
            <w:pPr>
              <w:pStyle w:val="FSCtblMRL1"/>
            </w:pPr>
            <w:r w:rsidRPr="00DF58C6">
              <w:t>Plums (including prunes)</w:t>
            </w:r>
          </w:p>
        </w:tc>
        <w:tc>
          <w:tcPr>
            <w:tcW w:w="1134" w:type="dxa"/>
            <w:hideMark/>
          </w:tcPr>
          <w:p w14:paraId="3BAA05B4" w14:textId="77777777" w:rsidR="00DF58C6" w:rsidRPr="00797A2D" w:rsidRDefault="00DF58C6" w:rsidP="00797A2D">
            <w:pPr>
              <w:pStyle w:val="FSCtblMRL2"/>
            </w:pPr>
            <w:r w:rsidRPr="00797A2D">
              <w:t>0.5</w:t>
            </w:r>
          </w:p>
        </w:tc>
      </w:tr>
      <w:tr w:rsidR="00DF58C6" w:rsidRPr="00DF58C6" w14:paraId="3D8B4BF1" w14:textId="77777777">
        <w:tc>
          <w:tcPr>
            <w:tcW w:w="3539" w:type="dxa"/>
            <w:hideMark/>
          </w:tcPr>
          <w:p w14:paraId="7892F9AF" w14:textId="77777777" w:rsidR="00DF58C6" w:rsidRPr="00DF58C6" w:rsidRDefault="00DF58C6" w:rsidP="003B6F48">
            <w:pPr>
              <w:pStyle w:val="FSCtblMRL1"/>
            </w:pPr>
            <w:r w:rsidRPr="00DF58C6">
              <w:t>Podded pea (young pods) (snow and sugar snap)</w:t>
            </w:r>
          </w:p>
        </w:tc>
        <w:tc>
          <w:tcPr>
            <w:tcW w:w="1134" w:type="dxa"/>
            <w:hideMark/>
          </w:tcPr>
          <w:p w14:paraId="3981A45D" w14:textId="77777777" w:rsidR="00DF58C6" w:rsidRPr="00797A2D" w:rsidRDefault="00DF58C6" w:rsidP="00797A2D">
            <w:pPr>
              <w:pStyle w:val="FSCtblMRL2"/>
            </w:pPr>
            <w:r w:rsidRPr="00797A2D">
              <w:t>T1</w:t>
            </w:r>
          </w:p>
        </w:tc>
      </w:tr>
      <w:tr w:rsidR="00DF58C6" w:rsidRPr="00DF58C6" w14:paraId="0B911FE0" w14:textId="77777777">
        <w:tc>
          <w:tcPr>
            <w:tcW w:w="3539" w:type="dxa"/>
            <w:hideMark/>
          </w:tcPr>
          <w:p w14:paraId="23ED3352" w14:textId="77777777" w:rsidR="00DF58C6" w:rsidRPr="00DF58C6" w:rsidRDefault="00DF58C6" w:rsidP="003B6F48">
            <w:pPr>
              <w:pStyle w:val="FSCtblMRL1"/>
            </w:pPr>
            <w:r w:rsidRPr="00DF58C6">
              <w:t>Poultry, edible offal of</w:t>
            </w:r>
          </w:p>
        </w:tc>
        <w:tc>
          <w:tcPr>
            <w:tcW w:w="1134" w:type="dxa"/>
            <w:hideMark/>
          </w:tcPr>
          <w:p w14:paraId="5DD6914D" w14:textId="77777777" w:rsidR="00DF58C6" w:rsidRPr="00797A2D" w:rsidRDefault="00DF58C6" w:rsidP="00797A2D">
            <w:pPr>
              <w:pStyle w:val="FSCtblMRL2"/>
            </w:pPr>
            <w:r w:rsidRPr="00797A2D">
              <w:t>*0.01</w:t>
            </w:r>
          </w:p>
        </w:tc>
      </w:tr>
      <w:tr w:rsidR="00DF58C6" w:rsidRPr="00DF58C6" w14:paraId="1780086C" w14:textId="77777777">
        <w:tc>
          <w:tcPr>
            <w:tcW w:w="3539" w:type="dxa"/>
            <w:hideMark/>
          </w:tcPr>
          <w:p w14:paraId="5980933D" w14:textId="77777777" w:rsidR="00DF58C6" w:rsidRPr="00DF58C6" w:rsidRDefault="00DF58C6" w:rsidP="003B6F48">
            <w:pPr>
              <w:pStyle w:val="FSCtblMRL1"/>
            </w:pPr>
            <w:r w:rsidRPr="00DF58C6">
              <w:t>Poultry meat</w:t>
            </w:r>
          </w:p>
        </w:tc>
        <w:tc>
          <w:tcPr>
            <w:tcW w:w="1134" w:type="dxa"/>
            <w:hideMark/>
          </w:tcPr>
          <w:p w14:paraId="349D7436" w14:textId="77777777" w:rsidR="00DF58C6" w:rsidRPr="00797A2D" w:rsidRDefault="00DF58C6" w:rsidP="00797A2D">
            <w:pPr>
              <w:pStyle w:val="FSCtblMRL2"/>
            </w:pPr>
            <w:r w:rsidRPr="00797A2D">
              <w:t>*0.01</w:t>
            </w:r>
          </w:p>
        </w:tc>
      </w:tr>
      <w:tr w:rsidR="00DF58C6" w:rsidRPr="00DF58C6" w14:paraId="4A018B9B" w14:textId="77777777">
        <w:tc>
          <w:tcPr>
            <w:tcW w:w="3539" w:type="dxa"/>
            <w:hideMark/>
          </w:tcPr>
          <w:p w14:paraId="25CFD1AE" w14:textId="77777777" w:rsidR="00DF58C6" w:rsidRPr="00DF58C6" w:rsidRDefault="00DF58C6" w:rsidP="003B6F48">
            <w:pPr>
              <w:pStyle w:val="FSCtblMRL1"/>
            </w:pPr>
            <w:r w:rsidRPr="00DF58C6">
              <w:t>Pome fruits [except Persimmon, Japanese]</w:t>
            </w:r>
          </w:p>
        </w:tc>
        <w:tc>
          <w:tcPr>
            <w:tcW w:w="1134" w:type="dxa"/>
            <w:hideMark/>
          </w:tcPr>
          <w:p w14:paraId="30ABCDC3" w14:textId="77777777" w:rsidR="00DF58C6" w:rsidRPr="00797A2D" w:rsidRDefault="00DF58C6" w:rsidP="00797A2D">
            <w:pPr>
              <w:pStyle w:val="FSCtblMRL2"/>
            </w:pPr>
            <w:r w:rsidRPr="00797A2D">
              <w:t>2</w:t>
            </w:r>
          </w:p>
        </w:tc>
      </w:tr>
    </w:tbl>
    <w:p w14:paraId="38558403" w14:textId="77777777" w:rsidR="00DF58C6" w:rsidRPr="00DF58C6" w:rsidRDefault="00DF58C6" w:rsidP="00DF58C6">
      <w:pPr>
        <w:widowControl/>
        <w:tabs>
          <w:tab w:val="left" w:pos="851"/>
        </w:tabs>
        <w:spacing w:before="120" w:after="120"/>
        <w:rPr>
          <w:sz w:val="20"/>
          <w:szCs w:val="20"/>
          <w:lang w:bidi="ar-SA"/>
        </w:rPr>
      </w:pPr>
    </w:p>
    <w:p w14:paraId="43B6449A" w14:textId="77777777" w:rsidR="00DF58C6" w:rsidRPr="00DF58C6" w:rsidRDefault="00DF58C6" w:rsidP="00B22849">
      <w:pPr>
        <w:pStyle w:val="FSCDraftingitemheading"/>
        <w:rPr>
          <w:b w:val="0"/>
        </w:rPr>
      </w:pPr>
      <w:r w:rsidRPr="00DF58C6">
        <w:t>[37]</w:t>
      </w:r>
      <w:r w:rsidRPr="00DF58C6">
        <w:tab/>
        <w:t xml:space="preserve">Section S20—3 (table entry for </w:t>
      </w:r>
      <w:proofErr w:type="spellStart"/>
      <w:r w:rsidRPr="00DF58C6">
        <w:t>Agvet</w:t>
      </w:r>
      <w:proofErr w:type="spellEnd"/>
      <w:r w:rsidRPr="00DF58C6">
        <w:t xml:space="preserve"> chemical: </w:t>
      </w:r>
      <w:proofErr w:type="spellStart"/>
      <w:r w:rsidRPr="00DF58C6">
        <w:t>Buprofezin</w:t>
      </w:r>
      <w:proofErr w:type="spellEnd"/>
      <w:r w:rsidRPr="00DF58C6">
        <w:t>)</w:t>
      </w:r>
    </w:p>
    <w:p w14:paraId="427295CC" w14:textId="77777777" w:rsidR="00DF58C6" w:rsidRPr="00DF58C6" w:rsidRDefault="00DF58C6" w:rsidP="00B22849">
      <w:pPr>
        <w:pStyle w:val="FSCDraftingitem"/>
      </w:pPr>
      <w:r w:rsidRPr="00DF58C6">
        <w:tab/>
        <w:t>Omit:</w:t>
      </w:r>
    </w:p>
    <w:p w14:paraId="40E98262" w14:textId="77777777" w:rsidR="00DF58C6" w:rsidRPr="00DF58C6" w:rsidRDefault="00DF58C6" w:rsidP="00E607C6">
      <w:pPr>
        <w:pStyle w:val="FSCtblMRL1"/>
      </w:pPr>
      <w:bookmarkStart w:id="119" w:name="_Hlk112240620"/>
      <w:r w:rsidRPr="00DF58C6">
        <w:rPr>
          <w:lang w:val="en-AU"/>
        </w:rPr>
        <w:t>Oilseed</w:t>
      </w:r>
      <w:r w:rsidRPr="00DF58C6">
        <w:t xml:space="preserve"> (except cotton seed)</w:t>
      </w:r>
    </w:p>
    <w:bookmarkEnd w:id="119"/>
    <w:p w14:paraId="593BCA2F" w14:textId="77777777" w:rsidR="00DF58C6" w:rsidRPr="00DF58C6" w:rsidRDefault="00DF58C6" w:rsidP="00B22849">
      <w:pPr>
        <w:pStyle w:val="FSCDraftingitem"/>
      </w:pPr>
      <w:r w:rsidRPr="00DF58C6">
        <w:tab/>
        <w:t>substitute:</w:t>
      </w:r>
    </w:p>
    <w:p w14:paraId="65C84C15" w14:textId="77777777" w:rsidR="00DF58C6" w:rsidRPr="00DF58C6" w:rsidRDefault="00DF58C6" w:rsidP="00E607C6">
      <w:pPr>
        <w:pStyle w:val="FSCtblMRL1"/>
      </w:pPr>
      <w:r w:rsidRPr="00DF58C6">
        <w:rPr>
          <w:lang w:val="en-AU"/>
        </w:rPr>
        <w:t>Oilseeds</w:t>
      </w:r>
      <w:r w:rsidRPr="00DF58C6">
        <w:t xml:space="preserve"> [except cotton seed]</w:t>
      </w:r>
    </w:p>
    <w:p w14:paraId="501BA7C1" w14:textId="77777777" w:rsidR="00DF58C6" w:rsidRPr="00DF58C6" w:rsidRDefault="00DF58C6" w:rsidP="00DF58C6">
      <w:pPr>
        <w:keepLines/>
        <w:widowControl/>
        <w:spacing w:before="20" w:after="20"/>
        <w:rPr>
          <w:rFonts w:cs="Arial"/>
          <w:sz w:val="18"/>
          <w:szCs w:val="20"/>
          <w:lang w:eastAsia="en-AU" w:bidi="ar-SA"/>
        </w:rPr>
      </w:pPr>
    </w:p>
    <w:p w14:paraId="4FFF870E" w14:textId="77777777" w:rsidR="00DF58C6" w:rsidRPr="00DF58C6" w:rsidRDefault="00DF58C6" w:rsidP="00E607C6">
      <w:pPr>
        <w:pStyle w:val="FSCDraftingitemheading"/>
        <w:rPr>
          <w:b w:val="0"/>
        </w:rPr>
      </w:pPr>
      <w:r w:rsidRPr="00DF58C6">
        <w:t>[38]</w:t>
      </w:r>
      <w:r w:rsidRPr="00DF58C6">
        <w:tab/>
        <w:t xml:space="preserve">Section S20—3 (table entries for </w:t>
      </w:r>
      <w:proofErr w:type="spellStart"/>
      <w:r w:rsidRPr="00DF58C6">
        <w:t>Agvet</w:t>
      </w:r>
      <w:proofErr w:type="spellEnd"/>
      <w:r w:rsidRPr="00DF58C6">
        <w:t xml:space="preserve"> chemicals: </w:t>
      </w:r>
      <w:proofErr w:type="spellStart"/>
      <w:r w:rsidRPr="00DF58C6">
        <w:t>Cyflumetofen</w:t>
      </w:r>
      <w:proofErr w:type="spellEnd"/>
      <w:r w:rsidRPr="00DF58C6">
        <w:t xml:space="preserve"> and </w:t>
      </w:r>
      <w:proofErr w:type="spellStart"/>
      <w:r w:rsidRPr="00DF58C6">
        <w:t>Fenazaquin</w:t>
      </w:r>
      <w:proofErr w:type="spellEnd"/>
      <w:r w:rsidRPr="00DF58C6">
        <w:t>)</w:t>
      </w:r>
    </w:p>
    <w:p w14:paraId="18ED0C2A" w14:textId="77777777" w:rsidR="00DF58C6" w:rsidRPr="00DF58C6" w:rsidRDefault="00DF58C6" w:rsidP="00E607C6">
      <w:pPr>
        <w:pStyle w:val="FSCDraftingitem"/>
      </w:pPr>
      <w:r w:rsidRPr="00DF58C6">
        <w:tab/>
        <w:t>Omit</w:t>
      </w:r>
      <w:r w:rsidRPr="00DF58C6">
        <w:rPr>
          <w:shd w:val="clear" w:color="auto" w:fill="FFFFFF"/>
        </w:rPr>
        <w:t>:</w:t>
      </w:r>
    </w:p>
    <w:p w14:paraId="58F86632" w14:textId="77777777" w:rsidR="00DF58C6" w:rsidRPr="00DF58C6" w:rsidRDefault="00DF58C6" w:rsidP="00E607C6">
      <w:pPr>
        <w:pStyle w:val="FSCtblMRL1"/>
      </w:pPr>
      <w:r w:rsidRPr="00DF58C6">
        <w:rPr>
          <w:lang w:val="en-AU"/>
        </w:rPr>
        <w:t>Grapes</w:t>
      </w:r>
      <w:r w:rsidRPr="00DF58C6">
        <w:t xml:space="preserve"> (except dried)</w:t>
      </w:r>
    </w:p>
    <w:p w14:paraId="4C757C2E" w14:textId="77777777" w:rsidR="00DF58C6" w:rsidRPr="00DF58C6" w:rsidRDefault="00DF58C6" w:rsidP="00E607C6">
      <w:pPr>
        <w:pStyle w:val="FSCDraftingitem"/>
        <w:rPr>
          <w:shd w:val="clear" w:color="auto" w:fill="FFFFFF"/>
        </w:rPr>
      </w:pPr>
      <w:r w:rsidRPr="00DF58C6">
        <w:tab/>
        <w:t>substitute</w:t>
      </w:r>
      <w:r w:rsidRPr="00DF58C6">
        <w:rPr>
          <w:shd w:val="clear" w:color="auto" w:fill="FFFFFF"/>
        </w:rPr>
        <w:t>:</w:t>
      </w:r>
    </w:p>
    <w:p w14:paraId="5229DFC1" w14:textId="77777777" w:rsidR="00DF58C6" w:rsidRPr="00DF58C6" w:rsidRDefault="00DF58C6" w:rsidP="00E607C6">
      <w:pPr>
        <w:pStyle w:val="FSCtblMRL1"/>
        <w:rPr>
          <w:shd w:val="clear" w:color="auto" w:fill="FFFFFF"/>
        </w:rPr>
      </w:pPr>
      <w:r w:rsidRPr="00DF58C6">
        <w:rPr>
          <w:lang w:val="en-AU"/>
        </w:rPr>
        <w:t>Grapes [except dried]</w:t>
      </w:r>
    </w:p>
    <w:p w14:paraId="2B79D04C" w14:textId="77777777" w:rsidR="00DF58C6" w:rsidRPr="00DF58C6" w:rsidRDefault="00DF58C6" w:rsidP="00DF58C6">
      <w:pPr>
        <w:keepLines/>
        <w:widowControl/>
        <w:spacing w:before="20" w:after="20"/>
        <w:rPr>
          <w:rFonts w:cs="Arial"/>
          <w:sz w:val="18"/>
          <w:szCs w:val="20"/>
          <w:shd w:val="clear" w:color="auto" w:fill="FFFFFF"/>
          <w:lang w:eastAsia="en-AU" w:bidi="ar-SA"/>
        </w:rPr>
      </w:pPr>
    </w:p>
    <w:p w14:paraId="7B38BDA3" w14:textId="77777777" w:rsidR="00DF58C6" w:rsidRPr="00DF58C6" w:rsidRDefault="00DF58C6" w:rsidP="00E607C6">
      <w:pPr>
        <w:pStyle w:val="FSCDraftingitemheading"/>
        <w:rPr>
          <w:b w:val="0"/>
        </w:rPr>
      </w:pPr>
      <w:r w:rsidRPr="00DF58C6">
        <w:rPr>
          <w:shd w:val="clear" w:color="auto" w:fill="FFFFFF"/>
        </w:rPr>
        <w:t>[39]</w:t>
      </w:r>
      <w:r w:rsidRPr="00DF58C6">
        <w:rPr>
          <w:shd w:val="clear" w:color="auto" w:fill="FFFFFF"/>
        </w:rPr>
        <w:tab/>
      </w:r>
      <w:r w:rsidRPr="00DF58C6">
        <w:t xml:space="preserve">Section S20—3 (table entry for </w:t>
      </w:r>
      <w:proofErr w:type="spellStart"/>
      <w:r w:rsidRPr="00DF58C6">
        <w:t>Agvet</w:t>
      </w:r>
      <w:proofErr w:type="spellEnd"/>
      <w:r w:rsidRPr="00DF58C6">
        <w:t xml:space="preserve"> chemical: Cyprodinil)</w:t>
      </w:r>
    </w:p>
    <w:p w14:paraId="4AD001BD" w14:textId="77777777" w:rsidR="00DF58C6" w:rsidRPr="00DF58C6" w:rsidRDefault="00DF58C6" w:rsidP="00E607C6">
      <w:pPr>
        <w:pStyle w:val="FSCDraftingitem"/>
      </w:pPr>
      <w:r w:rsidRPr="00DF58C6">
        <w:rPr>
          <w:shd w:val="clear" w:color="auto" w:fill="FFFFFF"/>
        </w:rPr>
        <w:tab/>
      </w:r>
      <w:bookmarkStart w:id="120" w:name="_Hlk120718808"/>
      <w:r w:rsidRPr="00DF58C6">
        <w:t>Omit:</w:t>
      </w:r>
    </w:p>
    <w:p w14:paraId="28DF7C50" w14:textId="77777777" w:rsidR="00DF58C6" w:rsidRPr="00DF58C6" w:rsidRDefault="00DF58C6" w:rsidP="0066129F">
      <w:pPr>
        <w:pStyle w:val="FSCtblMRL1"/>
      </w:pPr>
      <w:r w:rsidRPr="00DF58C6">
        <w:rPr>
          <w:lang w:val="en-AU"/>
        </w:rPr>
        <w:t>Peppers</w:t>
      </w:r>
      <w:r w:rsidRPr="00DF58C6">
        <w:t>, chili (except dried)</w:t>
      </w:r>
    </w:p>
    <w:p w14:paraId="20B0DBEF" w14:textId="77777777" w:rsidR="00DF58C6" w:rsidRPr="00DF58C6" w:rsidRDefault="00DF58C6" w:rsidP="00E607C6">
      <w:pPr>
        <w:pStyle w:val="FSCDraftingitem"/>
      </w:pPr>
      <w:r w:rsidRPr="00DF58C6">
        <w:tab/>
        <w:t>substitute:</w:t>
      </w:r>
    </w:p>
    <w:p w14:paraId="3BF2359E" w14:textId="77777777" w:rsidR="00DF58C6" w:rsidRPr="00DF58C6" w:rsidRDefault="00DF58C6" w:rsidP="0066129F">
      <w:pPr>
        <w:pStyle w:val="FSCtblMRL1"/>
      </w:pPr>
      <w:r w:rsidRPr="00DF58C6">
        <w:rPr>
          <w:lang w:val="en-AU"/>
        </w:rPr>
        <w:t>Peppers</w:t>
      </w:r>
      <w:r w:rsidRPr="00DF58C6">
        <w:t>, chili [except dried]</w:t>
      </w:r>
    </w:p>
    <w:bookmarkEnd w:id="120"/>
    <w:p w14:paraId="55FFC76A" w14:textId="77777777" w:rsidR="00DF58C6" w:rsidRPr="00DF58C6" w:rsidRDefault="00DF58C6" w:rsidP="00DF58C6">
      <w:pPr>
        <w:widowControl/>
        <w:tabs>
          <w:tab w:val="left" w:pos="851"/>
        </w:tabs>
        <w:spacing w:before="120" w:after="120"/>
        <w:rPr>
          <w:rFonts w:cs="Arial"/>
          <w:sz w:val="18"/>
          <w:szCs w:val="20"/>
          <w:shd w:val="clear" w:color="auto" w:fill="FFFFFF"/>
          <w:lang w:eastAsia="en-AU" w:bidi="ar-SA"/>
        </w:rPr>
      </w:pPr>
    </w:p>
    <w:p w14:paraId="5091FF41" w14:textId="77777777" w:rsidR="00DF58C6" w:rsidRPr="00DF58C6" w:rsidRDefault="00DF58C6" w:rsidP="00E607C6">
      <w:pPr>
        <w:pStyle w:val="FSCDraftingitemheading"/>
        <w:rPr>
          <w:b w:val="0"/>
        </w:rPr>
      </w:pPr>
      <w:r w:rsidRPr="00DF58C6">
        <w:rPr>
          <w:shd w:val="clear" w:color="auto" w:fill="FFFFFF"/>
        </w:rPr>
        <w:t>[40]</w:t>
      </w:r>
      <w:r w:rsidRPr="00DF58C6">
        <w:rPr>
          <w:shd w:val="clear" w:color="auto" w:fill="FFFFFF"/>
        </w:rPr>
        <w:tab/>
      </w:r>
      <w:r w:rsidRPr="00DF58C6">
        <w:t xml:space="preserve">Section S20—3 (table entry for </w:t>
      </w:r>
      <w:proofErr w:type="spellStart"/>
      <w:r w:rsidRPr="00DF58C6">
        <w:t>Agvet</w:t>
      </w:r>
      <w:proofErr w:type="spellEnd"/>
      <w:r w:rsidRPr="00DF58C6">
        <w:t xml:space="preserve"> chemical: </w:t>
      </w:r>
      <w:proofErr w:type="spellStart"/>
      <w:r w:rsidRPr="00DF58C6">
        <w:t>Didecyldimethylammonium</w:t>
      </w:r>
      <w:proofErr w:type="spellEnd"/>
      <w:r w:rsidRPr="00DF58C6">
        <w:t xml:space="preserve"> chloride)</w:t>
      </w:r>
    </w:p>
    <w:p w14:paraId="0BFA40F9" w14:textId="77777777" w:rsidR="00DF58C6" w:rsidRPr="00DF58C6" w:rsidRDefault="00DF58C6" w:rsidP="00E607C6">
      <w:pPr>
        <w:pStyle w:val="FSCDraftingitem"/>
      </w:pPr>
      <w:r w:rsidRPr="00DF58C6">
        <w:tab/>
        <w:t>Omit:</w:t>
      </w:r>
    </w:p>
    <w:p w14:paraId="1A9B5A90" w14:textId="77777777" w:rsidR="00DF58C6" w:rsidRPr="00DF58C6" w:rsidRDefault="00DF58C6" w:rsidP="0066129F">
      <w:pPr>
        <w:pStyle w:val="FSCtblMRL1"/>
      </w:pPr>
      <w:r w:rsidRPr="00DF58C6">
        <w:t xml:space="preserve">– </w:t>
      </w:r>
      <w:r w:rsidRPr="00DF58C6">
        <w:rPr>
          <w:lang w:val="en-AU"/>
        </w:rPr>
        <w:t>inedible</w:t>
      </w:r>
      <w:r w:rsidRPr="00DF58C6">
        <w:t xml:space="preserve"> peel (except tamarillo (tree tomato))</w:t>
      </w:r>
    </w:p>
    <w:p w14:paraId="54EE1270" w14:textId="77777777" w:rsidR="00DF58C6" w:rsidRPr="00DF58C6" w:rsidRDefault="00DF58C6" w:rsidP="00E607C6">
      <w:pPr>
        <w:pStyle w:val="FSCDraftingitem"/>
      </w:pPr>
      <w:r w:rsidRPr="00DF58C6">
        <w:tab/>
        <w:t>substitute:</w:t>
      </w:r>
    </w:p>
    <w:p w14:paraId="4C464182" w14:textId="77777777" w:rsidR="00DF58C6" w:rsidRPr="00DF58C6" w:rsidRDefault="00DF58C6" w:rsidP="0066129F">
      <w:pPr>
        <w:pStyle w:val="FSCtblMRL1"/>
      </w:pPr>
      <w:r w:rsidRPr="00DF58C6">
        <w:t xml:space="preserve">– </w:t>
      </w:r>
      <w:r w:rsidRPr="00DF58C6">
        <w:rPr>
          <w:lang w:val="en-AU"/>
        </w:rPr>
        <w:t>inedible</w:t>
      </w:r>
      <w:r w:rsidRPr="00DF58C6">
        <w:t xml:space="preserve"> peel [except tamarillo (tree tomato)]</w:t>
      </w:r>
    </w:p>
    <w:p w14:paraId="3E4BE481" w14:textId="77777777" w:rsidR="00DF58C6" w:rsidRPr="00DF58C6" w:rsidRDefault="00DF58C6" w:rsidP="00DF58C6">
      <w:pPr>
        <w:spacing w:before="120" w:after="120"/>
        <w:ind w:left="851" w:hanging="851"/>
        <w:rPr>
          <w:b/>
          <w:sz w:val="20"/>
          <w:szCs w:val="20"/>
          <w:lang w:bidi="ar-SA"/>
        </w:rPr>
      </w:pPr>
    </w:p>
    <w:p w14:paraId="0089FF43" w14:textId="77777777" w:rsidR="00DF58C6" w:rsidRPr="00DF58C6" w:rsidRDefault="00DF58C6" w:rsidP="00913855">
      <w:pPr>
        <w:pStyle w:val="FSCDraftingitemheading"/>
        <w:rPr>
          <w:b w:val="0"/>
        </w:rPr>
      </w:pPr>
      <w:r w:rsidRPr="00DF58C6">
        <w:t>[41]</w:t>
      </w:r>
      <w:r w:rsidRPr="00DF58C6">
        <w:tab/>
        <w:t xml:space="preserve">Section S20—3 (table entry for </w:t>
      </w:r>
      <w:proofErr w:type="spellStart"/>
      <w:r w:rsidRPr="00DF58C6">
        <w:t>Agvet</w:t>
      </w:r>
      <w:proofErr w:type="spellEnd"/>
      <w:r w:rsidRPr="00DF58C6">
        <w:t xml:space="preserve"> chemical: Ethephon)</w:t>
      </w:r>
    </w:p>
    <w:p w14:paraId="49124B03" w14:textId="77777777" w:rsidR="00DF58C6" w:rsidRPr="00DF58C6" w:rsidRDefault="00DF58C6" w:rsidP="00913855">
      <w:pPr>
        <w:pStyle w:val="FSCDraftingitem"/>
        <w:rPr>
          <w:rFonts w:cs="Arial"/>
          <w:sz w:val="18"/>
          <w:lang w:eastAsia="en-AU"/>
        </w:rPr>
      </w:pPr>
      <w:r w:rsidRPr="00DF58C6">
        <w:tab/>
        <w:t xml:space="preserve">Omit: </w:t>
      </w:r>
      <w:r w:rsidRPr="00DF58C6">
        <w:rPr>
          <w:rFonts w:cs="Arial"/>
          <w:sz w:val="18"/>
          <w:lang w:eastAsia="en-AU"/>
        </w:rPr>
        <w:tab/>
      </w:r>
      <w:r w:rsidRPr="00DF58C6">
        <w:rPr>
          <w:rFonts w:cs="Arial"/>
          <w:sz w:val="18"/>
          <w:lang w:eastAsia="en-AU"/>
        </w:rPr>
        <w:tab/>
      </w:r>
    </w:p>
    <w:tbl>
      <w:tblPr>
        <w:tblStyle w:val="TableGrid123"/>
        <w:tblW w:w="46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134"/>
      </w:tblGrid>
      <w:tr w:rsidR="00DF58C6" w:rsidRPr="00DF58C6" w14:paraId="796808E3" w14:textId="77777777" w:rsidTr="00E71655">
        <w:trPr>
          <w:cantSplit/>
          <w:trHeight w:val="539"/>
        </w:trPr>
        <w:tc>
          <w:tcPr>
            <w:tcW w:w="3544" w:type="dxa"/>
            <w:hideMark/>
          </w:tcPr>
          <w:p w14:paraId="5DD4893B" w14:textId="77777777" w:rsidR="00DF58C6" w:rsidRPr="00DF58C6" w:rsidRDefault="00DF58C6" w:rsidP="00913855">
            <w:pPr>
              <w:pStyle w:val="FSCtblMRL1"/>
            </w:pPr>
            <w:r w:rsidRPr="00DF58C6">
              <w:t>All other foods except animal commodities</w:t>
            </w:r>
          </w:p>
        </w:tc>
        <w:tc>
          <w:tcPr>
            <w:tcW w:w="1134" w:type="dxa"/>
            <w:hideMark/>
          </w:tcPr>
          <w:p w14:paraId="3DA18B41" w14:textId="77777777" w:rsidR="00DF58C6" w:rsidRPr="00811307" w:rsidRDefault="00DF58C6" w:rsidP="00913855">
            <w:pPr>
              <w:pStyle w:val="FSCtblMRL2"/>
              <w:rPr>
                <w:rFonts w:eastAsia="Times New Roman"/>
                <w:lang w:eastAsia="en-AU"/>
              </w:rPr>
            </w:pPr>
            <w:r w:rsidRPr="00811307">
              <w:rPr>
                <w:rFonts w:eastAsia="Times New Roman"/>
                <w:lang w:eastAsia="en-AU"/>
              </w:rPr>
              <w:t>0.01</w:t>
            </w:r>
          </w:p>
        </w:tc>
      </w:tr>
    </w:tbl>
    <w:p w14:paraId="2729E939" w14:textId="77777777" w:rsidR="00DF58C6" w:rsidRPr="00DF58C6" w:rsidRDefault="00DF58C6" w:rsidP="00913855">
      <w:pPr>
        <w:pStyle w:val="FSCDraftingitem"/>
        <w:rPr>
          <w:rFonts w:cs="Arial"/>
          <w:sz w:val="18"/>
          <w:lang w:eastAsia="en-AU"/>
        </w:rPr>
      </w:pPr>
      <w:r w:rsidRPr="00DF58C6">
        <w:tab/>
        <w:t>substitute:</w:t>
      </w:r>
      <w:r w:rsidRPr="00DF58C6">
        <w:rPr>
          <w:rFonts w:cs="Arial"/>
          <w:sz w:val="18"/>
          <w:lang w:eastAsia="en-AU"/>
        </w:rPr>
        <w:tab/>
      </w:r>
      <w:r w:rsidRPr="00DF58C6">
        <w:rPr>
          <w:rFonts w:cs="Arial"/>
          <w:sz w:val="18"/>
          <w:lang w:eastAsia="en-AU"/>
        </w:rPr>
        <w:tab/>
      </w:r>
    </w:p>
    <w:tbl>
      <w:tblPr>
        <w:tblStyle w:val="TableGrid1231"/>
        <w:tblW w:w="46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121"/>
      </w:tblGrid>
      <w:tr w:rsidR="00DF58C6" w:rsidRPr="00DF58C6" w14:paraId="46657381" w14:textId="77777777" w:rsidTr="002D0F0B">
        <w:trPr>
          <w:cantSplit/>
          <w:trHeight w:val="584"/>
        </w:trPr>
        <w:tc>
          <w:tcPr>
            <w:tcW w:w="3544" w:type="dxa"/>
            <w:hideMark/>
          </w:tcPr>
          <w:p w14:paraId="0DE4F3D2" w14:textId="77777777" w:rsidR="00DF58C6" w:rsidRPr="00DF58C6" w:rsidRDefault="00DF58C6" w:rsidP="00913855">
            <w:pPr>
              <w:pStyle w:val="FSCtblMRL1"/>
              <w:rPr>
                <w:lang w:eastAsia="en-GB"/>
              </w:rPr>
            </w:pPr>
            <w:r w:rsidRPr="00DF58C6">
              <w:lastRenderedPageBreak/>
              <w:t>All other foods except animal food commodities</w:t>
            </w:r>
          </w:p>
        </w:tc>
        <w:tc>
          <w:tcPr>
            <w:tcW w:w="1121" w:type="dxa"/>
            <w:hideMark/>
          </w:tcPr>
          <w:p w14:paraId="236A770A" w14:textId="77777777" w:rsidR="00DF58C6" w:rsidRPr="00DF58C6" w:rsidRDefault="00DF58C6" w:rsidP="00913855">
            <w:pPr>
              <w:pStyle w:val="FSCtblMRL2"/>
            </w:pPr>
            <w:r w:rsidRPr="00DF58C6">
              <w:t>0.1</w:t>
            </w:r>
          </w:p>
        </w:tc>
      </w:tr>
    </w:tbl>
    <w:p w14:paraId="3D0CF088" w14:textId="77777777" w:rsidR="00DF58C6" w:rsidRPr="00DF58C6" w:rsidRDefault="00DF58C6" w:rsidP="00913855">
      <w:pPr>
        <w:pStyle w:val="FSCDraftingitemheading"/>
        <w:rPr>
          <w:b w:val="0"/>
        </w:rPr>
      </w:pPr>
      <w:bookmarkStart w:id="121" w:name="_Hlk112244838"/>
      <w:r w:rsidRPr="00DF58C6">
        <w:t>[42]</w:t>
      </w:r>
      <w:r w:rsidRPr="00DF58C6">
        <w:tab/>
      </w:r>
      <w:bookmarkStart w:id="122" w:name="_Hlk119590454"/>
      <w:bookmarkStart w:id="123" w:name="_Hlk120291694"/>
      <w:r w:rsidRPr="00DF58C6">
        <w:t xml:space="preserve">Section S20—3 (table entry for </w:t>
      </w:r>
      <w:proofErr w:type="spellStart"/>
      <w:r w:rsidRPr="00DF58C6">
        <w:t>Agvet</w:t>
      </w:r>
      <w:proofErr w:type="spellEnd"/>
      <w:r w:rsidRPr="00DF58C6">
        <w:t xml:space="preserve"> chemical: Fludioxonil)</w:t>
      </w:r>
      <w:bookmarkEnd w:id="122"/>
      <w:bookmarkEnd w:id="123"/>
    </w:p>
    <w:p w14:paraId="347474FD" w14:textId="77777777" w:rsidR="00DF58C6" w:rsidRPr="00DF58C6" w:rsidRDefault="00DF58C6" w:rsidP="00913855">
      <w:pPr>
        <w:pStyle w:val="FSCDraftingitem"/>
      </w:pPr>
      <w:r w:rsidRPr="00DF58C6">
        <w:t>[42.1]</w:t>
      </w:r>
      <w:r w:rsidRPr="00DF58C6">
        <w:tab/>
        <w:t>Omit</w:t>
      </w:r>
      <w:r w:rsidRPr="00DF58C6">
        <w:rPr>
          <w:shd w:val="clear" w:color="auto" w:fill="FFFFFF"/>
        </w:rPr>
        <w:t>:</w:t>
      </w:r>
      <w:r w:rsidRPr="00DF58C6">
        <w:t xml:space="preserve"> </w:t>
      </w:r>
    </w:p>
    <w:p w14:paraId="72B8D0BE" w14:textId="77777777" w:rsidR="00DF58C6" w:rsidRPr="00DF58C6" w:rsidRDefault="00DF58C6" w:rsidP="00913855">
      <w:pPr>
        <w:pStyle w:val="FSCtblMRL1"/>
      </w:pPr>
      <w:r w:rsidRPr="00DF58C6">
        <w:t>Bulb onions (= garlic; onion, bulb; shallots)</w:t>
      </w:r>
    </w:p>
    <w:p w14:paraId="372D0A20" w14:textId="77777777" w:rsidR="00DF58C6" w:rsidRPr="00DF58C6" w:rsidRDefault="00DF58C6" w:rsidP="00913855">
      <w:pPr>
        <w:pStyle w:val="FSCDraftingitem"/>
      </w:pPr>
      <w:r w:rsidRPr="00DF58C6">
        <w:tab/>
        <w:t>substitute:</w:t>
      </w:r>
    </w:p>
    <w:p w14:paraId="55EA4644" w14:textId="77777777" w:rsidR="00DF58C6" w:rsidRPr="00DF58C6" w:rsidRDefault="00DF58C6" w:rsidP="00913855">
      <w:pPr>
        <w:pStyle w:val="FSCtblMRL1"/>
      </w:pPr>
      <w:r w:rsidRPr="00DF58C6">
        <w:t>Bulb onions (garlic; onion, bulb; shallots)</w:t>
      </w:r>
    </w:p>
    <w:p w14:paraId="179673F9" w14:textId="77777777" w:rsidR="00DF58C6" w:rsidRPr="00DF58C6" w:rsidRDefault="00DF58C6" w:rsidP="00DF58C6">
      <w:pPr>
        <w:widowControl/>
        <w:tabs>
          <w:tab w:val="left" w:pos="851"/>
        </w:tabs>
        <w:spacing w:before="120" w:after="120"/>
        <w:rPr>
          <w:sz w:val="20"/>
          <w:szCs w:val="20"/>
          <w:lang w:bidi="ar-SA"/>
        </w:rPr>
      </w:pPr>
    </w:p>
    <w:p w14:paraId="01EBE610" w14:textId="77777777" w:rsidR="00DF58C6" w:rsidRPr="00DF58C6" w:rsidRDefault="00DF58C6" w:rsidP="00913855">
      <w:pPr>
        <w:pStyle w:val="FSCDraftingitem"/>
      </w:pPr>
      <w:r w:rsidRPr="00DF58C6">
        <w:t>[42.2]</w:t>
      </w:r>
      <w:r w:rsidRPr="00DF58C6">
        <w:tab/>
        <w:t>Omit:</w:t>
      </w:r>
    </w:p>
    <w:p w14:paraId="51E595AE" w14:textId="77777777" w:rsidR="00DF58C6" w:rsidRPr="00DF58C6" w:rsidRDefault="00DF58C6" w:rsidP="00913855">
      <w:pPr>
        <w:pStyle w:val="FSCtblMRL1"/>
      </w:pPr>
      <w:r w:rsidRPr="00DF58C6">
        <w:t>Peppers, chili (except dried)</w:t>
      </w:r>
    </w:p>
    <w:p w14:paraId="6FAC11F2" w14:textId="77777777" w:rsidR="00DF58C6" w:rsidRPr="00DF58C6" w:rsidRDefault="00DF58C6" w:rsidP="00913855">
      <w:pPr>
        <w:pStyle w:val="FSCDraftingitem"/>
      </w:pPr>
      <w:r w:rsidRPr="00DF58C6">
        <w:tab/>
        <w:t>substitute:</w:t>
      </w:r>
    </w:p>
    <w:p w14:paraId="37396AAC" w14:textId="77777777" w:rsidR="00DF58C6" w:rsidRPr="00DF58C6" w:rsidRDefault="00DF58C6" w:rsidP="00913855">
      <w:pPr>
        <w:pStyle w:val="FSCtblMRL1"/>
      </w:pPr>
      <w:r w:rsidRPr="00DF58C6">
        <w:t>Peppers, chili [except dried]</w:t>
      </w:r>
    </w:p>
    <w:p w14:paraId="30BE28C5" w14:textId="77777777" w:rsidR="00DF58C6" w:rsidRPr="00DF58C6" w:rsidRDefault="00DF58C6" w:rsidP="00DF58C6">
      <w:pPr>
        <w:spacing w:before="120" w:after="120"/>
        <w:ind w:left="851" w:hanging="851"/>
        <w:rPr>
          <w:b/>
          <w:sz w:val="20"/>
          <w:szCs w:val="20"/>
          <w:shd w:val="clear" w:color="auto" w:fill="FFFFFF"/>
          <w:lang w:bidi="ar-SA"/>
        </w:rPr>
      </w:pPr>
    </w:p>
    <w:p w14:paraId="0A2ED0B5" w14:textId="77777777" w:rsidR="00DF58C6" w:rsidRPr="00DF58C6" w:rsidRDefault="00DF58C6" w:rsidP="00D40004">
      <w:pPr>
        <w:pStyle w:val="FSCDraftingitemheading"/>
        <w:rPr>
          <w:b w:val="0"/>
          <w:shd w:val="clear" w:color="auto" w:fill="FFFFFF"/>
        </w:rPr>
      </w:pPr>
      <w:r w:rsidRPr="00DF58C6">
        <w:rPr>
          <w:shd w:val="clear" w:color="auto" w:fill="FFFFFF"/>
        </w:rPr>
        <w:t>[43]</w:t>
      </w:r>
      <w:r w:rsidRPr="00DF58C6">
        <w:rPr>
          <w:shd w:val="clear" w:color="auto" w:fill="FFFFFF"/>
        </w:rPr>
        <w:tab/>
        <w:t xml:space="preserve">Section S20—3 (table entry for </w:t>
      </w:r>
      <w:proofErr w:type="spellStart"/>
      <w:r w:rsidRPr="00DF58C6">
        <w:rPr>
          <w:shd w:val="clear" w:color="auto" w:fill="FFFFFF"/>
        </w:rPr>
        <w:t>Agvet</w:t>
      </w:r>
      <w:proofErr w:type="spellEnd"/>
      <w:r w:rsidRPr="00DF58C6">
        <w:rPr>
          <w:shd w:val="clear" w:color="auto" w:fill="FFFFFF"/>
        </w:rPr>
        <w:t xml:space="preserve"> chemical: </w:t>
      </w:r>
      <w:proofErr w:type="spellStart"/>
      <w:r w:rsidRPr="00DF58C6">
        <w:rPr>
          <w:shd w:val="clear" w:color="auto" w:fill="FFFFFF"/>
        </w:rPr>
        <w:t>Fluoxapiprolin</w:t>
      </w:r>
      <w:proofErr w:type="spellEnd"/>
      <w:r w:rsidRPr="00DF58C6">
        <w:rPr>
          <w:shd w:val="clear" w:color="auto" w:fill="FFFFFF"/>
        </w:rPr>
        <w:t>)</w:t>
      </w:r>
    </w:p>
    <w:p w14:paraId="410959A4" w14:textId="5520B317" w:rsidR="00DF58C6" w:rsidRDefault="00DF58C6" w:rsidP="00D40004">
      <w:pPr>
        <w:pStyle w:val="FSCDraftingitem"/>
        <w:rPr>
          <w:shd w:val="clear" w:color="auto" w:fill="FFFFFF"/>
        </w:rPr>
      </w:pPr>
      <w:r w:rsidRPr="00DF58C6">
        <w:rPr>
          <w:shd w:val="clear" w:color="auto" w:fill="FFFFFF"/>
        </w:rPr>
        <w:t>[43.1]</w:t>
      </w:r>
      <w:r w:rsidRPr="00DF58C6">
        <w:rPr>
          <w:shd w:val="clear" w:color="auto" w:fill="FFFFFF"/>
        </w:rPr>
        <w:tab/>
        <w:t>Omit the chemical listed and all entries for the chemical</w:t>
      </w:r>
    </w:p>
    <w:p w14:paraId="62835B82" w14:textId="77777777" w:rsidR="003F20D5" w:rsidRPr="00DF58C6" w:rsidRDefault="003F20D5" w:rsidP="00D40004">
      <w:pPr>
        <w:pStyle w:val="FSCDraftingitem"/>
        <w:rPr>
          <w:shd w:val="clear" w:color="auto" w:fill="FFFFFF"/>
        </w:rPr>
      </w:pPr>
    </w:p>
    <w:p w14:paraId="61461331" w14:textId="77777777" w:rsidR="00DF58C6" w:rsidRPr="00DF58C6" w:rsidRDefault="00DF58C6" w:rsidP="00D40004">
      <w:pPr>
        <w:pStyle w:val="FSCDraftingitem"/>
        <w:ind w:left="850" w:hanging="850"/>
        <w:rPr>
          <w:shd w:val="clear" w:color="auto" w:fill="FFFFFF"/>
        </w:rPr>
      </w:pPr>
      <w:r w:rsidRPr="00DF58C6">
        <w:rPr>
          <w:bCs/>
          <w:shd w:val="clear" w:color="auto" w:fill="FFFFFF"/>
        </w:rPr>
        <w:t>[43.2]</w:t>
      </w:r>
      <w:r w:rsidRPr="00DF58C6">
        <w:rPr>
          <w:b/>
          <w:shd w:val="clear" w:color="auto" w:fill="FFFFFF"/>
        </w:rPr>
        <w:tab/>
      </w:r>
      <w:r w:rsidRPr="00DF58C6">
        <w:rPr>
          <w:shd w:val="clear" w:color="auto" w:fill="FFFFFF"/>
        </w:rPr>
        <w:t>Insert in alphabetical order, the following chemical, its corresponding residue definition(s), food commodities and associated MRLs.</w:t>
      </w:r>
    </w:p>
    <w:tbl>
      <w:tblPr>
        <w:tblW w:w="0" w:type="auto"/>
        <w:tblInd w:w="-168" w:type="dxa"/>
        <w:tblLayout w:type="fixed"/>
        <w:tblLook w:val="04A0" w:firstRow="1" w:lastRow="0" w:firstColumn="1" w:lastColumn="0" w:noHBand="0" w:noVBand="1"/>
      </w:tblPr>
      <w:tblGrid>
        <w:gridCol w:w="3570"/>
        <w:gridCol w:w="1134"/>
      </w:tblGrid>
      <w:tr w:rsidR="00DF58C6" w:rsidRPr="00DF58C6" w14:paraId="3C5F5FA3" w14:textId="77777777" w:rsidTr="00470C1F">
        <w:trPr>
          <w:trHeight w:val="84"/>
        </w:trPr>
        <w:tc>
          <w:tcPr>
            <w:tcW w:w="4704" w:type="dxa"/>
            <w:gridSpan w:val="2"/>
            <w:tcBorders>
              <w:top w:val="nil"/>
              <w:left w:val="nil"/>
              <w:bottom w:val="nil"/>
              <w:right w:val="nil"/>
            </w:tcBorders>
            <w:hideMark/>
          </w:tcPr>
          <w:p w14:paraId="585B29CC" w14:textId="77777777" w:rsidR="00DF58C6" w:rsidRPr="00DF58C6" w:rsidRDefault="00DF58C6" w:rsidP="00243A4B">
            <w:pPr>
              <w:pStyle w:val="FSCtblh3"/>
              <w:rPr>
                <w:lang w:val="en-AU"/>
              </w:rPr>
            </w:pPr>
            <w:proofErr w:type="spellStart"/>
            <w:r w:rsidRPr="00DF58C6">
              <w:rPr>
                <w:lang w:val="en-AU"/>
              </w:rPr>
              <w:t>Agvet</w:t>
            </w:r>
            <w:proofErr w:type="spellEnd"/>
            <w:r w:rsidRPr="00DF58C6">
              <w:rPr>
                <w:lang w:val="en-AU"/>
              </w:rPr>
              <w:t xml:space="preserve"> chemical: </w:t>
            </w:r>
            <w:proofErr w:type="spellStart"/>
            <w:r w:rsidRPr="00DF58C6">
              <w:rPr>
                <w:lang w:val="en-AU"/>
              </w:rPr>
              <w:t>Fluoxapiprolin</w:t>
            </w:r>
            <w:proofErr w:type="spellEnd"/>
            <w:r w:rsidRPr="00DF58C6">
              <w:rPr>
                <w:lang w:val="en-AU"/>
              </w:rPr>
              <w:t xml:space="preserve"> </w:t>
            </w:r>
          </w:p>
        </w:tc>
      </w:tr>
      <w:tr w:rsidR="00DF58C6" w:rsidRPr="00DF58C6" w14:paraId="2DA4953D" w14:textId="77777777" w:rsidTr="00470C1F">
        <w:trPr>
          <w:trHeight w:val="84"/>
        </w:trPr>
        <w:tc>
          <w:tcPr>
            <w:tcW w:w="4704" w:type="dxa"/>
            <w:gridSpan w:val="2"/>
            <w:tcBorders>
              <w:top w:val="nil"/>
              <w:left w:val="nil"/>
              <w:bottom w:val="nil"/>
              <w:right w:val="nil"/>
            </w:tcBorders>
            <w:hideMark/>
          </w:tcPr>
          <w:p w14:paraId="31E4B29A" w14:textId="77777777" w:rsidR="00DF58C6" w:rsidRPr="00DF58C6" w:rsidRDefault="00DF58C6" w:rsidP="00243A4B">
            <w:pPr>
              <w:pStyle w:val="FSCtblh4"/>
              <w:rPr>
                <w:lang w:val="en-AU"/>
              </w:rPr>
            </w:pPr>
            <w:r w:rsidRPr="00DF58C6">
              <w:rPr>
                <w:lang w:val="en-AU"/>
              </w:rPr>
              <w:t xml:space="preserve">Permitted residue: </w:t>
            </w:r>
            <w:proofErr w:type="spellStart"/>
            <w:r w:rsidRPr="00DF58C6">
              <w:rPr>
                <w:lang w:val="en-AU"/>
              </w:rPr>
              <w:t>Fluoxapiprolin</w:t>
            </w:r>
            <w:proofErr w:type="spellEnd"/>
            <w:r w:rsidRPr="00DF58C6">
              <w:rPr>
                <w:lang w:val="en-AU"/>
              </w:rPr>
              <w:t xml:space="preserve"> </w:t>
            </w:r>
          </w:p>
        </w:tc>
      </w:tr>
      <w:tr w:rsidR="00DF58C6" w:rsidRPr="00DF58C6" w14:paraId="678193A1" w14:textId="77777777" w:rsidTr="00470C1F">
        <w:trPr>
          <w:trHeight w:val="190"/>
        </w:trPr>
        <w:tc>
          <w:tcPr>
            <w:tcW w:w="3570" w:type="dxa"/>
            <w:tcBorders>
              <w:top w:val="nil"/>
              <w:left w:val="nil"/>
              <w:bottom w:val="nil"/>
              <w:right w:val="nil"/>
            </w:tcBorders>
            <w:hideMark/>
          </w:tcPr>
          <w:p w14:paraId="1DFE1017" w14:textId="77777777" w:rsidR="00DF58C6" w:rsidRPr="00DF58C6" w:rsidRDefault="00DF58C6" w:rsidP="00D8551C">
            <w:pPr>
              <w:pStyle w:val="FSCtblMRL1"/>
              <w:rPr>
                <w:lang w:val="en-AU"/>
              </w:rPr>
            </w:pPr>
            <w:r w:rsidRPr="00DF58C6">
              <w:rPr>
                <w:lang w:val="en-AU"/>
              </w:rPr>
              <w:t xml:space="preserve">Dried grapes (= currants, raisins and sultanas) </w:t>
            </w:r>
          </w:p>
        </w:tc>
        <w:tc>
          <w:tcPr>
            <w:tcW w:w="1134" w:type="dxa"/>
            <w:tcBorders>
              <w:top w:val="nil"/>
              <w:left w:val="nil"/>
              <w:bottom w:val="nil"/>
              <w:right w:val="nil"/>
            </w:tcBorders>
            <w:hideMark/>
          </w:tcPr>
          <w:p w14:paraId="2E0CC959" w14:textId="77777777" w:rsidR="00DF58C6" w:rsidRDefault="00DF58C6" w:rsidP="00D8551C">
            <w:pPr>
              <w:pStyle w:val="FSCtblMRL2"/>
              <w:rPr>
                <w:lang w:val="en-AU" w:eastAsia="en-GB"/>
              </w:rPr>
            </w:pPr>
            <w:r w:rsidRPr="00DF58C6">
              <w:rPr>
                <w:lang w:val="en-AU" w:eastAsia="en-GB"/>
              </w:rPr>
              <w:t xml:space="preserve">0.5 </w:t>
            </w:r>
          </w:p>
          <w:p w14:paraId="61B35DDE" w14:textId="77777777" w:rsidR="008462BE" w:rsidRDefault="008462BE" w:rsidP="008462BE">
            <w:pPr>
              <w:ind w:firstLine="567"/>
              <w:rPr>
                <w:rFonts w:eastAsiaTheme="minorHAnsi" w:cs="Arial"/>
                <w:sz w:val="18"/>
                <w:szCs w:val="20"/>
                <w:lang w:val="en-AU" w:eastAsia="en-GB" w:bidi="ar-SA"/>
              </w:rPr>
            </w:pPr>
          </w:p>
          <w:p w14:paraId="36BC0E69" w14:textId="3B951780" w:rsidR="008462BE" w:rsidRPr="008462BE" w:rsidRDefault="008462BE" w:rsidP="008462BE">
            <w:pPr>
              <w:rPr>
                <w:rFonts w:eastAsia="Calibri"/>
                <w:lang w:val="en-AU" w:eastAsia="en-GB" w:bidi="ar-SA"/>
              </w:rPr>
            </w:pPr>
          </w:p>
        </w:tc>
      </w:tr>
      <w:tr w:rsidR="00DF58C6" w:rsidRPr="00DF58C6" w14:paraId="0AE4A5A0" w14:textId="77777777" w:rsidTr="00470C1F">
        <w:trPr>
          <w:trHeight w:val="84"/>
        </w:trPr>
        <w:tc>
          <w:tcPr>
            <w:tcW w:w="3570" w:type="dxa"/>
            <w:tcBorders>
              <w:top w:val="nil"/>
              <w:left w:val="nil"/>
              <w:bottom w:val="nil"/>
              <w:right w:val="nil"/>
            </w:tcBorders>
            <w:hideMark/>
          </w:tcPr>
          <w:p w14:paraId="71097E3F" w14:textId="77777777" w:rsidR="00DF58C6" w:rsidRPr="00DF58C6" w:rsidRDefault="00DF58C6" w:rsidP="00D8551C">
            <w:pPr>
              <w:pStyle w:val="FSCtblMRL1"/>
              <w:rPr>
                <w:lang w:val="en-AU"/>
              </w:rPr>
            </w:pPr>
            <w:r w:rsidRPr="00DF58C6">
              <w:rPr>
                <w:lang w:val="en-AU"/>
              </w:rPr>
              <w:t xml:space="preserve">Edible offal (mammalian) </w:t>
            </w:r>
          </w:p>
        </w:tc>
        <w:tc>
          <w:tcPr>
            <w:tcW w:w="1134" w:type="dxa"/>
            <w:tcBorders>
              <w:top w:val="nil"/>
              <w:left w:val="nil"/>
              <w:bottom w:val="nil"/>
              <w:right w:val="nil"/>
            </w:tcBorders>
            <w:hideMark/>
          </w:tcPr>
          <w:p w14:paraId="143D3345" w14:textId="77777777" w:rsidR="00DF58C6" w:rsidRPr="00DF58C6" w:rsidRDefault="00DF58C6" w:rsidP="00D8551C">
            <w:pPr>
              <w:pStyle w:val="FSCtblMRL2"/>
              <w:rPr>
                <w:lang w:val="en-AU" w:eastAsia="en-GB"/>
              </w:rPr>
            </w:pPr>
            <w:r w:rsidRPr="00DF58C6">
              <w:rPr>
                <w:lang w:val="en-AU" w:eastAsia="en-GB"/>
              </w:rPr>
              <w:t xml:space="preserve">*0.01 </w:t>
            </w:r>
          </w:p>
        </w:tc>
      </w:tr>
      <w:tr w:rsidR="00DF58C6" w:rsidRPr="00DF58C6" w14:paraId="0BCDA1A9" w14:textId="77777777" w:rsidTr="00470C1F">
        <w:trPr>
          <w:trHeight w:val="84"/>
        </w:trPr>
        <w:tc>
          <w:tcPr>
            <w:tcW w:w="3570" w:type="dxa"/>
            <w:tcBorders>
              <w:top w:val="nil"/>
              <w:left w:val="nil"/>
              <w:bottom w:val="nil"/>
              <w:right w:val="nil"/>
            </w:tcBorders>
            <w:hideMark/>
          </w:tcPr>
          <w:p w14:paraId="00B2B083" w14:textId="77777777" w:rsidR="00DF58C6" w:rsidRPr="00DF58C6" w:rsidRDefault="00DF58C6" w:rsidP="00D8551C">
            <w:pPr>
              <w:pStyle w:val="FSCtblMRL1"/>
              <w:rPr>
                <w:lang w:val="en-AU"/>
              </w:rPr>
            </w:pPr>
            <w:r w:rsidRPr="00DF58C6">
              <w:rPr>
                <w:lang w:val="en-AU"/>
              </w:rPr>
              <w:t xml:space="preserve">Eggs </w:t>
            </w:r>
          </w:p>
        </w:tc>
        <w:tc>
          <w:tcPr>
            <w:tcW w:w="1134" w:type="dxa"/>
            <w:tcBorders>
              <w:top w:val="nil"/>
              <w:left w:val="nil"/>
              <w:bottom w:val="nil"/>
              <w:right w:val="nil"/>
            </w:tcBorders>
            <w:hideMark/>
          </w:tcPr>
          <w:p w14:paraId="622A4CB5" w14:textId="77777777" w:rsidR="00DF58C6" w:rsidRPr="00DF58C6" w:rsidRDefault="00DF58C6" w:rsidP="00D8551C">
            <w:pPr>
              <w:pStyle w:val="FSCtblMRL2"/>
              <w:rPr>
                <w:lang w:val="en-AU" w:eastAsia="en-GB"/>
              </w:rPr>
            </w:pPr>
            <w:r w:rsidRPr="00DF58C6">
              <w:rPr>
                <w:lang w:val="en-AU" w:eastAsia="en-GB"/>
              </w:rPr>
              <w:t xml:space="preserve">*0.01 </w:t>
            </w:r>
          </w:p>
        </w:tc>
      </w:tr>
      <w:tr w:rsidR="00DF58C6" w:rsidRPr="00DF58C6" w14:paraId="156BA17D" w14:textId="77777777" w:rsidTr="00470C1F">
        <w:trPr>
          <w:trHeight w:val="84"/>
        </w:trPr>
        <w:tc>
          <w:tcPr>
            <w:tcW w:w="3570" w:type="dxa"/>
            <w:tcBorders>
              <w:top w:val="nil"/>
              <w:left w:val="nil"/>
              <w:bottom w:val="nil"/>
              <w:right w:val="nil"/>
            </w:tcBorders>
            <w:hideMark/>
          </w:tcPr>
          <w:p w14:paraId="6ABF9088" w14:textId="77777777" w:rsidR="00DF58C6" w:rsidRPr="00DF58C6" w:rsidRDefault="00DF58C6" w:rsidP="00D8551C">
            <w:pPr>
              <w:pStyle w:val="FSCtblMRL1"/>
              <w:rPr>
                <w:lang w:val="en-AU"/>
              </w:rPr>
            </w:pPr>
            <w:r w:rsidRPr="00DF58C6">
              <w:rPr>
                <w:lang w:val="en-AU"/>
              </w:rPr>
              <w:t xml:space="preserve">Grapes </w:t>
            </w:r>
          </w:p>
        </w:tc>
        <w:tc>
          <w:tcPr>
            <w:tcW w:w="1134" w:type="dxa"/>
            <w:tcBorders>
              <w:top w:val="nil"/>
              <w:left w:val="nil"/>
              <w:bottom w:val="nil"/>
              <w:right w:val="nil"/>
            </w:tcBorders>
            <w:hideMark/>
          </w:tcPr>
          <w:p w14:paraId="52189DD4" w14:textId="77777777" w:rsidR="00DF58C6" w:rsidRPr="00DF58C6" w:rsidRDefault="00DF58C6" w:rsidP="00D8551C">
            <w:pPr>
              <w:pStyle w:val="FSCtblMRL2"/>
              <w:rPr>
                <w:lang w:val="en-AU" w:eastAsia="en-GB"/>
              </w:rPr>
            </w:pPr>
            <w:r w:rsidRPr="00DF58C6">
              <w:rPr>
                <w:lang w:val="en-AU" w:eastAsia="en-GB"/>
              </w:rPr>
              <w:t xml:space="preserve">0.15 </w:t>
            </w:r>
          </w:p>
        </w:tc>
      </w:tr>
      <w:tr w:rsidR="00DF58C6" w:rsidRPr="00DF58C6" w14:paraId="6194F9A4" w14:textId="77777777" w:rsidTr="00470C1F">
        <w:trPr>
          <w:trHeight w:val="84"/>
        </w:trPr>
        <w:tc>
          <w:tcPr>
            <w:tcW w:w="3570" w:type="dxa"/>
            <w:tcBorders>
              <w:top w:val="nil"/>
              <w:left w:val="nil"/>
              <w:bottom w:val="nil"/>
              <w:right w:val="nil"/>
            </w:tcBorders>
            <w:hideMark/>
          </w:tcPr>
          <w:p w14:paraId="5D1EF939" w14:textId="77777777" w:rsidR="00DF58C6" w:rsidRPr="00DF58C6" w:rsidRDefault="00DF58C6" w:rsidP="00D8551C">
            <w:pPr>
              <w:pStyle w:val="FSCtblMRL1"/>
              <w:rPr>
                <w:lang w:val="en-AU"/>
              </w:rPr>
            </w:pPr>
            <w:r w:rsidRPr="00DF58C6">
              <w:rPr>
                <w:lang w:val="en-AU"/>
              </w:rPr>
              <w:t xml:space="preserve">Meat (mammalian) [in the fat] </w:t>
            </w:r>
          </w:p>
        </w:tc>
        <w:tc>
          <w:tcPr>
            <w:tcW w:w="1134" w:type="dxa"/>
            <w:tcBorders>
              <w:top w:val="nil"/>
              <w:left w:val="nil"/>
              <w:bottom w:val="nil"/>
              <w:right w:val="nil"/>
            </w:tcBorders>
            <w:hideMark/>
          </w:tcPr>
          <w:p w14:paraId="084BDE1F" w14:textId="77777777" w:rsidR="00DF58C6" w:rsidRPr="00DF58C6" w:rsidRDefault="00DF58C6" w:rsidP="00D8551C">
            <w:pPr>
              <w:pStyle w:val="FSCtblMRL2"/>
              <w:rPr>
                <w:lang w:val="en-AU" w:eastAsia="en-GB"/>
              </w:rPr>
            </w:pPr>
            <w:r w:rsidRPr="00DF58C6">
              <w:rPr>
                <w:lang w:val="en-AU" w:eastAsia="en-GB"/>
              </w:rPr>
              <w:t xml:space="preserve">*0.01 </w:t>
            </w:r>
          </w:p>
        </w:tc>
      </w:tr>
      <w:tr w:rsidR="00DF58C6" w:rsidRPr="00DF58C6" w14:paraId="169B8F82" w14:textId="77777777" w:rsidTr="00470C1F">
        <w:trPr>
          <w:trHeight w:val="84"/>
        </w:trPr>
        <w:tc>
          <w:tcPr>
            <w:tcW w:w="3570" w:type="dxa"/>
            <w:tcBorders>
              <w:top w:val="nil"/>
              <w:left w:val="nil"/>
              <w:bottom w:val="nil"/>
              <w:right w:val="nil"/>
            </w:tcBorders>
            <w:hideMark/>
          </w:tcPr>
          <w:p w14:paraId="2B39F321" w14:textId="77777777" w:rsidR="00DF58C6" w:rsidRPr="00DF58C6" w:rsidRDefault="00DF58C6" w:rsidP="00D8551C">
            <w:pPr>
              <w:pStyle w:val="FSCtblMRL1"/>
              <w:rPr>
                <w:lang w:val="en-AU"/>
              </w:rPr>
            </w:pPr>
            <w:r w:rsidRPr="00DF58C6">
              <w:rPr>
                <w:lang w:val="en-AU"/>
              </w:rPr>
              <w:t xml:space="preserve">Milks </w:t>
            </w:r>
          </w:p>
        </w:tc>
        <w:tc>
          <w:tcPr>
            <w:tcW w:w="1134" w:type="dxa"/>
            <w:tcBorders>
              <w:top w:val="nil"/>
              <w:left w:val="nil"/>
              <w:bottom w:val="nil"/>
              <w:right w:val="nil"/>
            </w:tcBorders>
            <w:hideMark/>
          </w:tcPr>
          <w:p w14:paraId="6930F7B3" w14:textId="77777777" w:rsidR="00DF58C6" w:rsidRPr="00DF58C6" w:rsidRDefault="00DF58C6" w:rsidP="00D8551C">
            <w:pPr>
              <w:pStyle w:val="FSCtblMRL2"/>
              <w:rPr>
                <w:lang w:val="en-AU" w:eastAsia="en-GB"/>
              </w:rPr>
            </w:pPr>
            <w:r w:rsidRPr="00DF58C6">
              <w:rPr>
                <w:lang w:val="en-AU" w:eastAsia="en-GB"/>
              </w:rPr>
              <w:t xml:space="preserve">*0.01 </w:t>
            </w:r>
          </w:p>
        </w:tc>
      </w:tr>
      <w:tr w:rsidR="00DF58C6" w:rsidRPr="00DF58C6" w14:paraId="05076E34" w14:textId="77777777" w:rsidTr="00470C1F">
        <w:trPr>
          <w:trHeight w:val="84"/>
        </w:trPr>
        <w:tc>
          <w:tcPr>
            <w:tcW w:w="3570" w:type="dxa"/>
            <w:tcBorders>
              <w:top w:val="nil"/>
              <w:left w:val="nil"/>
              <w:bottom w:val="nil"/>
              <w:right w:val="nil"/>
            </w:tcBorders>
            <w:hideMark/>
          </w:tcPr>
          <w:p w14:paraId="68DD1CE8" w14:textId="77777777" w:rsidR="00DF58C6" w:rsidRPr="00DF58C6" w:rsidRDefault="00DF58C6" w:rsidP="00D8551C">
            <w:pPr>
              <w:pStyle w:val="FSCtblMRL1"/>
              <w:rPr>
                <w:lang w:val="en-AU"/>
              </w:rPr>
            </w:pPr>
            <w:r w:rsidRPr="00DF58C6">
              <w:rPr>
                <w:lang w:val="en-AU"/>
              </w:rPr>
              <w:t xml:space="preserve">Poultry, edible offal of </w:t>
            </w:r>
          </w:p>
        </w:tc>
        <w:tc>
          <w:tcPr>
            <w:tcW w:w="1134" w:type="dxa"/>
            <w:tcBorders>
              <w:top w:val="nil"/>
              <w:left w:val="nil"/>
              <w:bottom w:val="nil"/>
              <w:right w:val="nil"/>
            </w:tcBorders>
            <w:hideMark/>
          </w:tcPr>
          <w:p w14:paraId="05AAD058" w14:textId="77777777" w:rsidR="00DF58C6" w:rsidRPr="00DF58C6" w:rsidRDefault="00DF58C6" w:rsidP="00D8551C">
            <w:pPr>
              <w:pStyle w:val="FSCtblMRL2"/>
              <w:rPr>
                <w:lang w:val="en-AU" w:eastAsia="en-GB"/>
              </w:rPr>
            </w:pPr>
            <w:r w:rsidRPr="00DF58C6">
              <w:rPr>
                <w:lang w:val="en-AU" w:eastAsia="en-GB"/>
              </w:rPr>
              <w:t xml:space="preserve">*0.01 </w:t>
            </w:r>
          </w:p>
        </w:tc>
      </w:tr>
      <w:tr w:rsidR="00DF58C6" w:rsidRPr="00DF58C6" w14:paraId="599B9EA2" w14:textId="77777777" w:rsidTr="00470C1F">
        <w:trPr>
          <w:trHeight w:val="84"/>
        </w:trPr>
        <w:tc>
          <w:tcPr>
            <w:tcW w:w="3570" w:type="dxa"/>
            <w:tcBorders>
              <w:top w:val="nil"/>
              <w:left w:val="nil"/>
              <w:bottom w:val="nil"/>
              <w:right w:val="nil"/>
            </w:tcBorders>
            <w:hideMark/>
          </w:tcPr>
          <w:p w14:paraId="091B7724" w14:textId="77777777" w:rsidR="00DF58C6" w:rsidRPr="00DF58C6" w:rsidRDefault="00DF58C6" w:rsidP="00D8551C">
            <w:pPr>
              <w:pStyle w:val="FSCtblMRL1"/>
              <w:rPr>
                <w:lang w:val="en-AU"/>
              </w:rPr>
            </w:pPr>
            <w:r w:rsidRPr="00DF58C6">
              <w:rPr>
                <w:lang w:val="en-AU"/>
              </w:rPr>
              <w:t xml:space="preserve">Poultry meat [in the fat] </w:t>
            </w:r>
          </w:p>
        </w:tc>
        <w:tc>
          <w:tcPr>
            <w:tcW w:w="1134" w:type="dxa"/>
            <w:tcBorders>
              <w:top w:val="nil"/>
              <w:left w:val="nil"/>
              <w:bottom w:val="nil"/>
              <w:right w:val="nil"/>
            </w:tcBorders>
            <w:hideMark/>
          </w:tcPr>
          <w:p w14:paraId="7DB66708" w14:textId="77777777" w:rsidR="00DF58C6" w:rsidRPr="00DF58C6" w:rsidRDefault="00DF58C6" w:rsidP="00D8551C">
            <w:pPr>
              <w:pStyle w:val="FSCtblMRL2"/>
              <w:rPr>
                <w:lang w:val="en-AU" w:eastAsia="en-GB"/>
              </w:rPr>
            </w:pPr>
            <w:r w:rsidRPr="00DF58C6">
              <w:rPr>
                <w:lang w:val="en-AU" w:eastAsia="en-GB"/>
              </w:rPr>
              <w:t xml:space="preserve">*0.01 </w:t>
            </w:r>
          </w:p>
        </w:tc>
      </w:tr>
    </w:tbl>
    <w:p w14:paraId="42218917" w14:textId="77777777" w:rsidR="00DF58C6" w:rsidRPr="00DF58C6" w:rsidRDefault="00DF58C6" w:rsidP="00DF58C6">
      <w:pPr>
        <w:spacing w:before="120" w:after="120"/>
        <w:rPr>
          <w:b/>
          <w:sz w:val="20"/>
          <w:szCs w:val="20"/>
          <w:shd w:val="clear" w:color="auto" w:fill="FFFFFF"/>
          <w:lang w:bidi="ar-SA"/>
        </w:rPr>
      </w:pPr>
    </w:p>
    <w:p w14:paraId="1B9501D6" w14:textId="77777777" w:rsidR="00DF58C6" w:rsidRPr="00DF58C6" w:rsidRDefault="00DF58C6" w:rsidP="00A66054">
      <w:pPr>
        <w:pStyle w:val="FSCDraftingitemheading"/>
        <w:rPr>
          <w:b w:val="0"/>
        </w:rPr>
      </w:pPr>
      <w:r w:rsidRPr="00DF58C6">
        <w:rPr>
          <w:shd w:val="clear" w:color="auto" w:fill="FFFFFF"/>
        </w:rPr>
        <w:t>[44]</w:t>
      </w:r>
      <w:r w:rsidRPr="00DF58C6">
        <w:rPr>
          <w:shd w:val="clear" w:color="auto" w:fill="FFFFFF"/>
        </w:rPr>
        <w:tab/>
        <w:t>Section</w:t>
      </w:r>
      <w:r w:rsidRPr="00DF58C6">
        <w:t xml:space="preserve"> S20—3 (table entry for </w:t>
      </w:r>
      <w:proofErr w:type="spellStart"/>
      <w:r w:rsidRPr="00DF58C6">
        <w:t>Agvet</w:t>
      </w:r>
      <w:proofErr w:type="spellEnd"/>
      <w:r w:rsidRPr="00DF58C6">
        <w:t xml:space="preserve"> chemical: Fluxapyroxad)</w:t>
      </w:r>
      <w:bookmarkEnd w:id="121"/>
    </w:p>
    <w:p w14:paraId="3E743759" w14:textId="77777777" w:rsidR="00DF58C6" w:rsidRPr="00DF58C6" w:rsidRDefault="00DF58C6" w:rsidP="00C95E5D">
      <w:pPr>
        <w:pStyle w:val="FSCDraftingitem"/>
        <w:rPr>
          <w:shd w:val="clear" w:color="auto" w:fill="FFFFFF"/>
        </w:rPr>
      </w:pPr>
      <w:r w:rsidRPr="00DF58C6">
        <w:rPr>
          <w:shd w:val="clear" w:color="auto" w:fill="FFFFFF"/>
        </w:rPr>
        <w:tab/>
        <w:t>Omit:</w:t>
      </w:r>
    </w:p>
    <w:p w14:paraId="0B7C2B8D" w14:textId="77777777" w:rsidR="00DF58C6" w:rsidRPr="00DF58C6" w:rsidRDefault="00DF58C6" w:rsidP="00C95E5D">
      <w:pPr>
        <w:pStyle w:val="FSCtblMRL1"/>
        <w:rPr>
          <w:shd w:val="clear" w:color="auto" w:fill="FFFFFF"/>
        </w:rPr>
      </w:pPr>
      <w:r w:rsidRPr="00DF58C6">
        <w:rPr>
          <w:lang w:val="en-AU"/>
        </w:rPr>
        <w:t>Berries</w:t>
      </w:r>
      <w:r w:rsidRPr="00DF58C6">
        <w:rPr>
          <w:shd w:val="clear" w:color="auto" w:fill="FFFFFF"/>
        </w:rPr>
        <w:t xml:space="preserve"> and other small fruit (except grapes)</w:t>
      </w:r>
    </w:p>
    <w:p w14:paraId="359F6803" w14:textId="77777777" w:rsidR="00DF58C6" w:rsidRPr="00DF58C6" w:rsidRDefault="00DF58C6" w:rsidP="00C95E5D">
      <w:pPr>
        <w:pStyle w:val="FSCDraftingitem"/>
        <w:rPr>
          <w:shd w:val="clear" w:color="auto" w:fill="FFFFFF"/>
        </w:rPr>
      </w:pPr>
      <w:r w:rsidRPr="00DF58C6">
        <w:rPr>
          <w:shd w:val="clear" w:color="auto" w:fill="FFFFFF"/>
        </w:rPr>
        <w:tab/>
        <w:t>substitute:</w:t>
      </w:r>
    </w:p>
    <w:p w14:paraId="3F65FFE0" w14:textId="77777777" w:rsidR="00DF58C6" w:rsidRPr="00DF58C6" w:rsidRDefault="00DF58C6" w:rsidP="00C95E5D">
      <w:pPr>
        <w:pStyle w:val="FSCtblMRL1"/>
        <w:rPr>
          <w:shd w:val="clear" w:color="auto" w:fill="FFFFFF"/>
        </w:rPr>
      </w:pPr>
      <w:r w:rsidRPr="00DF58C6">
        <w:rPr>
          <w:lang w:val="en-AU"/>
        </w:rPr>
        <w:t>Berries</w:t>
      </w:r>
      <w:r w:rsidRPr="00DF58C6">
        <w:rPr>
          <w:shd w:val="clear" w:color="auto" w:fill="FFFFFF"/>
        </w:rPr>
        <w:t xml:space="preserve"> and other small </w:t>
      </w:r>
      <w:r w:rsidRPr="00DF58C6">
        <w:rPr>
          <w:lang w:val="en-AU"/>
        </w:rPr>
        <w:t>fruit</w:t>
      </w:r>
      <w:r w:rsidRPr="00DF58C6">
        <w:rPr>
          <w:shd w:val="clear" w:color="auto" w:fill="FFFFFF"/>
        </w:rPr>
        <w:t xml:space="preserve"> [except grapes]</w:t>
      </w:r>
    </w:p>
    <w:p w14:paraId="47160479" w14:textId="77777777" w:rsidR="00DF58C6" w:rsidRPr="00DF58C6" w:rsidRDefault="00DF58C6" w:rsidP="00DF58C6">
      <w:pPr>
        <w:keepLines/>
        <w:widowControl/>
        <w:spacing w:before="20" w:after="20"/>
        <w:rPr>
          <w:rFonts w:cs="Arial"/>
          <w:sz w:val="18"/>
          <w:szCs w:val="20"/>
          <w:shd w:val="clear" w:color="auto" w:fill="FFFFFF"/>
          <w:lang w:eastAsia="en-AU" w:bidi="ar-SA"/>
        </w:rPr>
      </w:pPr>
    </w:p>
    <w:p w14:paraId="32B67677" w14:textId="77777777" w:rsidR="00DF58C6" w:rsidRPr="00DF58C6" w:rsidRDefault="00DF58C6" w:rsidP="00C95E5D">
      <w:pPr>
        <w:pStyle w:val="FSCDraftingitemheading"/>
        <w:rPr>
          <w:b w:val="0"/>
        </w:rPr>
      </w:pPr>
      <w:r w:rsidRPr="00DF58C6">
        <w:t>[45]</w:t>
      </w:r>
      <w:r w:rsidRPr="00DF58C6">
        <w:tab/>
      </w:r>
      <w:r w:rsidRPr="00DF58C6">
        <w:rPr>
          <w:shd w:val="clear" w:color="auto" w:fill="FFFFFF"/>
        </w:rPr>
        <w:t>Section</w:t>
      </w:r>
      <w:r w:rsidRPr="00DF58C6">
        <w:t xml:space="preserve"> S20—3 (table entry for </w:t>
      </w:r>
      <w:proofErr w:type="spellStart"/>
      <w:r w:rsidRPr="00DF58C6">
        <w:t>Agvet</w:t>
      </w:r>
      <w:proofErr w:type="spellEnd"/>
      <w:r w:rsidRPr="00DF58C6">
        <w:t xml:space="preserve"> chemical: </w:t>
      </w:r>
      <w:proofErr w:type="spellStart"/>
      <w:r w:rsidRPr="00DF58C6">
        <w:t>Imazamox</w:t>
      </w:r>
      <w:proofErr w:type="spellEnd"/>
      <w:r w:rsidRPr="00DF58C6">
        <w:t>)</w:t>
      </w:r>
    </w:p>
    <w:p w14:paraId="1CEB8B46" w14:textId="77777777" w:rsidR="00DF58C6" w:rsidRPr="00DF58C6" w:rsidRDefault="00DF58C6" w:rsidP="00C95E5D">
      <w:pPr>
        <w:pStyle w:val="FSCDraftingitem"/>
      </w:pPr>
      <w:r w:rsidRPr="00DF58C6">
        <w:tab/>
      </w:r>
      <w:r w:rsidRPr="00DF58C6">
        <w:rPr>
          <w:shd w:val="clear" w:color="auto" w:fill="FFFFFF"/>
        </w:rPr>
        <w:t>Omit</w:t>
      </w:r>
      <w:r w:rsidRPr="00DF58C6">
        <w:t>:</w:t>
      </w:r>
    </w:p>
    <w:p w14:paraId="134AC051" w14:textId="77777777" w:rsidR="00DF58C6" w:rsidRPr="00DF58C6" w:rsidRDefault="00DF58C6" w:rsidP="00C95E5D">
      <w:pPr>
        <w:pStyle w:val="FSCtblMRL1"/>
      </w:pPr>
      <w:r w:rsidRPr="00DF58C6">
        <w:t xml:space="preserve">All </w:t>
      </w:r>
      <w:r w:rsidRPr="00DF58C6">
        <w:rPr>
          <w:shd w:val="clear" w:color="auto" w:fill="FFFFFF"/>
        </w:rPr>
        <w:t>other</w:t>
      </w:r>
      <w:r w:rsidRPr="00DF58C6">
        <w:t xml:space="preserve"> foods except animal food commodities’ </w:t>
      </w:r>
      <w:r w:rsidRPr="00DF58C6">
        <w:tab/>
      </w:r>
      <w:r w:rsidRPr="00DF58C6">
        <w:tab/>
      </w:r>
    </w:p>
    <w:p w14:paraId="35C0ACA2" w14:textId="77777777" w:rsidR="00DF58C6" w:rsidRPr="00DF58C6" w:rsidRDefault="00DF58C6" w:rsidP="00C95E5D">
      <w:pPr>
        <w:pStyle w:val="FSCDraftingitem"/>
      </w:pPr>
      <w:r w:rsidRPr="00DF58C6">
        <w:tab/>
      </w:r>
      <w:r w:rsidRPr="00DF58C6">
        <w:rPr>
          <w:shd w:val="clear" w:color="auto" w:fill="FFFFFF"/>
        </w:rPr>
        <w:t>substitute</w:t>
      </w:r>
      <w:r w:rsidRPr="00DF58C6">
        <w:t>:</w:t>
      </w:r>
    </w:p>
    <w:p w14:paraId="3BAB8816" w14:textId="77777777" w:rsidR="00DF58C6" w:rsidRPr="00DF58C6" w:rsidRDefault="00DF58C6" w:rsidP="00C95E5D">
      <w:pPr>
        <w:pStyle w:val="FSCtblMRL1"/>
      </w:pPr>
      <w:r w:rsidRPr="00DF58C6">
        <w:t xml:space="preserve">All </w:t>
      </w:r>
      <w:r w:rsidRPr="00DF58C6">
        <w:rPr>
          <w:shd w:val="clear" w:color="auto" w:fill="FFFFFF"/>
        </w:rPr>
        <w:t>other</w:t>
      </w:r>
      <w:r w:rsidRPr="00DF58C6">
        <w:t xml:space="preserve"> foods except animal food commodities</w:t>
      </w:r>
      <w:bookmarkStart w:id="124" w:name="_Hlk112247687"/>
    </w:p>
    <w:p w14:paraId="3E90878A" w14:textId="77777777" w:rsidR="00DF58C6" w:rsidRPr="00DF58C6" w:rsidRDefault="00DF58C6" w:rsidP="00DF58C6">
      <w:pPr>
        <w:keepLines/>
        <w:widowControl/>
        <w:spacing w:before="20" w:after="20"/>
        <w:rPr>
          <w:rFonts w:cs="Arial"/>
          <w:sz w:val="18"/>
          <w:szCs w:val="20"/>
          <w:lang w:eastAsia="en-AU" w:bidi="ar-SA"/>
        </w:rPr>
      </w:pPr>
    </w:p>
    <w:p w14:paraId="49AC80EA" w14:textId="77777777" w:rsidR="00DF58C6" w:rsidRPr="00DF58C6" w:rsidRDefault="00DF58C6" w:rsidP="005043AF">
      <w:pPr>
        <w:pStyle w:val="FSCDraftingitemheading"/>
        <w:rPr>
          <w:b w:val="0"/>
        </w:rPr>
      </w:pPr>
      <w:r w:rsidRPr="00DF58C6">
        <w:lastRenderedPageBreak/>
        <w:t>[46]</w:t>
      </w:r>
      <w:r w:rsidRPr="00DF58C6">
        <w:tab/>
      </w:r>
      <w:r w:rsidRPr="005043AF">
        <w:rPr>
          <w:shd w:val="clear" w:color="auto" w:fill="FFFFFF"/>
        </w:rPr>
        <w:t>Section</w:t>
      </w:r>
      <w:r w:rsidRPr="00DF58C6">
        <w:t xml:space="preserve"> S20—3 (table entry for </w:t>
      </w:r>
      <w:proofErr w:type="spellStart"/>
      <w:r w:rsidRPr="00DF58C6">
        <w:t>Agvet</w:t>
      </w:r>
      <w:proofErr w:type="spellEnd"/>
      <w:r w:rsidRPr="00DF58C6">
        <w:t xml:space="preserve"> chemical: </w:t>
      </w:r>
      <w:proofErr w:type="spellStart"/>
      <w:r w:rsidRPr="00DF58C6">
        <w:t>Kresoxim</w:t>
      </w:r>
      <w:proofErr w:type="spellEnd"/>
      <w:r w:rsidRPr="00DF58C6">
        <w:t>-methyl)</w:t>
      </w:r>
    </w:p>
    <w:p w14:paraId="79DA6B4B" w14:textId="77777777" w:rsidR="00DF58C6" w:rsidRPr="00DF58C6" w:rsidRDefault="00DF58C6" w:rsidP="005043AF">
      <w:pPr>
        <w:pStyle w:val="FSCDraftingitem"/>
      </w:pPr>
      <w:r w:rsidRPr="00DF58C6">
        <w:tab/>
      </w:r>
      <w:r w:rsidRPr="00DF58C6">
        <w:rPr>
          <w:shd w:val="clear" w:color="auto" w:fill="FFFFFF"/>
        </w:rPr>
        <w:t>Omit</w:t>
      </w:r>
      <w:r w:rsidRPr="00DF58C6">
        <w:t>:</w:t>
      </w:r>
    </w:p>
    <w:p w14:paraId="4B5317BA" w14:textId="77777777" w:rsidR="00DF58C6" w:rsidRPr="00DF58C6" w:rsidRDefault="00DF58C6" w:rsidP="005043AF">
      <w:pPr>
        <w:pStyle w:val="FSCtblMRL1"/>
      </w:pPr>
      <w:r w:rsidRPr="00DF58C6">
        <w:t>Barley, similar grains, and pseudocereals with husks (=barley; buckwheat; oats)</w:t>
      </w:r>
    </w:p>
    <w:p w14:paraId="4DC22199" w14:textId="77777777" w:rsidR="00DF58C6" w:rsidRPr="00DF58C6" w:rsidRDefault="00DF58C6" w:rsidP="005043AF">
      <w:pPr>
        <w:pStyle w:val="FSCDraftingitem"/>
      </w:pPr>
      <w:r w:rsidRPr="00DF58C6">
        <w:tab/>
      </w:r>
      <w:r w:rsidRPr="00DF58C6">
        <w:rPr>
          <w:shd w:val="clear" w:color="auto" w:fill="FFFFFF"/>
        </w:rPr>
        <w:t>substitute</w:t>
      </w:r>
      <w:r w:rsidRPr="00DF58C6">
        <w:t>:</w:t>
      </w:r>
    </w:p>
    <w:p w14:paraId="2B8FBB0E" w14:textId="77777777" w:rsidR="00DF58C6" w:rsidRPr="00DF58C6" w:rsidRDefault="00DF58C6" w:rsidP="005043AF">
      <w:pPr>
        <w:pStyle w:val="FSCtblMRL1"/>
      </w:pPr>
      <w:r w:rsidRPr="00DF58C6">
        <w:t>Barley, similar grains, and pseudocereals with husks (barley; buckwheat; oats)</w:t>
      </w:r>
    </w:p>
    <w:p w14:paraId="07E2C6E0" w14:textId="77777777" w:rsidR="00486CCE" w:rsidRDefault="00486CCE" w:rsidP="00DF58C6">
      <w:pPr>
        <w:spacing w:before="120" w:after="120"/>
        <w:ind w:left="851" w:hanging="851"/>
        <w:rPr>
          <w:b/>
          <w:sz w:val="20"/>
          <w:szCs w:val="20"/>
          <w:shd w:val="clear" w:color="auto" w:fill="FFFFFF"/>
          <w:lang w:bidi="ar-SA"/>
        </w:rPr>
      </w:pPr>
    </w:p>
    <w:p w14:paraId="7DEBCD56" w14:textId="66B9FB18" w:rsidR="00DF58C6" w:rsidRPr="009713BA" w:rsidRDefault="00DF58C6" w:rsidP="000E02A6">
      <w:pPr>
        <w:pStyle w:val="FSCDraftingitemheading"/>
        <w:rPr>
          <w:b w:val="0"/>
          <w:shd w:val="clear" w:color="auto" w:fill="FFFFFF"/>
        </w:rPr>
      </w:pPr>
      <w:r w:rsidRPr="00DF58C6">
        <w:rPr>
          <w:shd w:val="clear" w:color="auto" w:fill="FFFFFF"/>
        </w:rPr>
        <w:t>[47]</w:t>
      </w:r>
      <w:r w:rsidRPr="00DF58C6">
        <w:rPr>
          <w:shd w:val="clear" w:color="auto" w:fill="FFFFFF"/>
        </w:rPr>
        <w:tab/>
      </w:r>
      <w:r w:rsidRPr="000E02A6">
        <w:t>Section</w:t>
      </w:r>
      <w:r w:rsidRPr="009713BA">
        <w:rPr>
          <w:shd w:val="clear" w:color="auto" w:fill="FFFFFF"/>
        </w:rPr>
        <w:t xml:space="preserve"> S20—3 (table entries for </w:t>
      </w:r>
      <w:proofErr w:type="spellStart"/>
      <w:r w:rsidRPr="009713BA">
        <w:rPr>
          <w:shd w:val="clear" w:color="auto" w:fill="FFFFFF"/>
        </w:rPr>
        <w:t>Agvet</w:t>
      </w:r>
      <w:proofErr w:type="spellEnd"/>
      <w:r w:rsidRPr="009713BA">
        <w:rPr>
          <w:shd w:val="clear" w:color="auto" w:fill="FFFFFF"/>
        </w:rPr>
        <w:t xml:space="preserve"> chemicals: </w:t>
      </w:r>
      <w:proofErr w:type="spellStart"/>
      <w:r w:rsidRPr="009713BA">
        <w:rPr>
          <w:shd w:val="clear" w:color="auto" w:fill="FFFFFF"/>
        </w:rPr>
        <w:t>Maldison</w:t>
      </w:r>
      <w:proofErr w:type="spellEnd"/>
      <w:r w:rsidRPr="009713BA">
        <w:rPr>
          <w:shd w:val="clear" w:color="auto" w:fill="FFFFFF"/>
        </w:rPr>
        <w:t xml:space="preserve"> and Trichlorfon)</w:t>
      </w:r>
    </w:p>
    <w:p w14:paraId="5A31485D" w14:textId="77777777" w:rsidR="00DF58C6" w:rsidRPr="00DF58C6" w:rsidRDefault="00DF58C6" w:rsidP="000E02A6">
      <w:pPr>
        <w:pStyle w:val="FSCDraftingitem"/>
      </w:pPr>
      <w:r w:rsidRPr="00DF58C6">
        <w:tab/>
      </w:r>
      <w:r w:rsidRPr="00DF58C6">
        <w:rPr>
          <w:shd w:val="clear" w:color="auto" w:fill="FFFFFF"/>
        </w:rPr>
        <w:t>Omit</w:t>
      </w:r>
      <w:r w:rsidRPr="00DF58C6">
        <w:t>:</w:t>
      </w:r>
    </w:p>
    <w:p w14:paraId="2FB1F5D2" w14:textId="77777777" w:rsidR="00DF58C6" w:rsidRPr="00DF58C6" w:rsidRDefault="00DF58C6" w:rsidP="00577D11">
      <w:pPr>
        <w:pStyle w:val="FSCtblMRL1"/>
      </w:pPr>
      <w:r w:rsidRPr="00DF58C6">
        <w:t>(except jujube, Chinese)</w:t>
      </w:r>
    </w:p>
    <w:p w14:paraId="5930518E" w14:textId="77777777" w:rsidR="00DF58C6" w:rsidRPr="00DF58C6" w:rsidRDefault="00DF58C6" w:rsidP="000E02A6">
      <w:pPr>
        <w:pStyle w:val="FSCDraftingitem"/>
      </w:pPr>
      <w:r w:rsidRPr="00DF58C6">
        <w:tab/>
      </w:r>
      <w:r w:rsidRPr="00DF58C6">
        <w:rPr>
          <w:shd w:val="clear" w:color="auto" w:fill="FFFFFF"/>
        </w:rPr>
        <w:t>substitute</w:t>
      </w:r>
      <w:r w:rsidRPr="00DF58C6">
        <w:t>:</w:t>
      </w:r>
    </w:p>
    <w:p w14:paraId="2DB58D61" w14:textId="77777777" w:rsidR="00DF58C6" w:rsidRPr="00DF58C6" w:rsidRDefault="00DF58C6" w:rsidP="00577D11">
      <w:pPr>
        <w:pStyle w:val="FSCtblMRL1"/>
      </w:pPr>
      <w:r w:rsidRPr="00DF58C6">
        <w:t>[</w:t>
      </w:r>
      <w:r w:rsidRPr="00DF58C6">
        <w:rPr>
          <w:sz w:val="20"/>
        </w:rPr>
        <w:t>except</w:t>
      </w:r>
      <w:r w:rsidRPr="00DF58C6">
        <w:t xml:space="preserve"> jujube, Chinese]</w:t>
      </w:r>
    </w:p>
    <w:p w14:paraId="28FD7F15" w14:textId="77777777" w:rsidR="00DF58C6" w:rsidRPr="00DF58C6" w:rsidRDefault="00DF58C6" w:rsidP="00DF58C6">
      <w:pPr>
        <w:keepLines/>
        <w:widowControl/>
        <w:spacing w:before="20" w:after="20"/>
        <w:rPr>
          <w:rFonts w:cs="Arial"/>
          <w:b/>
          <w:sz w:val="20"/>
          <w:szCs w:val="20"/>
          <w:lang w:eastAsia="en-AU" w:bidi="ar-SA"/>
        </w:rPr>
      </w:pPr>
    </w:p>
    <w:p w14:paraId="20010EFD" w14:textId="77777777" w:rsidR="00DF58C6" w:rsidRPr="00DF58C6" w:rsidRDefault="00DF58C6" w:rsidP="000E02A6">
      <w:pPr>
        <w:pStyle w:val="FSCDraftingitemheading"/>
        <w:rPr>
          <w:b w:val="0"/>
        </w:rPr>
      </w:pPr>
      <w:r w:rsidRPr="00DF58C6">
        <w:t>[48]</w:t>
      </w:r>
      <w:r w:rsidRPr="00DF58C6">
        <w:tab/>
      </w:r>
      <w:bookmarkStart w:id="125" w:name="_Hlk118367033"/>
      <w:r w:rsidRPr="000E02A6">
        <w:rPr>
          <w:shd w:val="clear" w:color="auto" w:fill="FFFFFF"/>
        </w:rPr>
        <w:t>Section</w:t>
      </w:r>
      <w:r w:rsidRPr="00DF58C6">
        <w:t xml:space="preserve"> S20—3 (table entry for </w:t>
      </w:r>
      <w:proofErr w:type="spellStart"/>
      <w:r w:rsidRPr="00DF58C6">
        <w:t>Agvet</w:t>
      </w:r>
      <w:proofErr w:type="spellEnd"/>
      <w:r w:rsidRPr="00DF58C6">
        <w:t xml:space="preserve"> chemical: </w:t>
      </w:r>
      <w:bookmarkEnd w:id="125"/>
      <w:proofErr w:type="spellStart"/>
      <w:r w:rsidRPr="00DF58C6">
        <w:t>Niclosamide</w:t>
      </w:r>
      <w:proofErr w:type="spellEnd"/>
      <w:r w:rsidRPr="00DF58C6">
        <w:t>)</w:t>
      </w:r>
      <w:bookmarkEnd w:id="124"/>
    </w:p>
    <w:p w14:paraId="63A8C8E3" w14:textId="77777777" w:rsidR="00DF58C6" w:rsidRPr="00DF58C6" w:rsidRDefault="00DF58C6" w:rsidP="000E02A6">
      <w:pPr>
        <w:pStyle w:val="FSCDraftingitem"/>
      </w:pPr>
      <w:r w:rsidRPr="00DF58C6">
        <w:tab/>
      </w:r>
      <w:r w:rsidRPr="00DF58C6">
        <w:rPr>
          <w:shd w:val="clear" w:color="auto" w:fill="FFFFFF"/>
        </w:rPr>
        <w:t>Omit</w:t>
      </w:r>
      <w:r w:rsidRPr="00DF58C6">
        <w:t>:</w:t>
      </w:r>
    </w:p>
    <w:p w14:paraId="5D2FA985" w14:textId="77777777" w:rsidR="00DF58C6" w:rsidRPr="00DF58C6" w:rsidRDefault="00DF58C6" w:rsidP="00577D11">
      <w:pPr>
        <w:pStyle w:val="FSCtblMRL1"/>
      </w:pPr>
      <w:r w:rsidRPr="00DF58C6">
        <w:rPr>
          <w:bCs/>
          <w:sz w:val="20"/>
        </w:rPr>
        <w:t>eat</w:t>
      </w:r>
      <w:r w:rsidRPr="00DF58C6">
        <w:rPr>
          <w:bCs/>
        </w:rPr>
        <w:t xml:space="preserve"> </w:t>
      </w:r>
      <w:r w:rsidRPr="00DF58C6">
        <w:t>(mammalian)</w:t>
      </w:r>
    </w:p>
    <w:p w14:paraId="0887333A" w14:textId="77777777" w:rsidR="00DF58C6" w:rsidRPr="00DF58C6" w:rsidRDefault="00DF58C6" w:rsidP="000E02A6">
      <w:pPr>
        <w:pStyle w:val="FSCDraftingitem"/>
      </w:pPr>
      <w:r w:rsidRPr="00DF58C6">
        <w:tab/>
      </w:r>
      <w:r w:rsidRPr="00DF58C6">
        <w:rPr>
          <w:shd w:val="clear" w:color="auto" w:fill="FFFFFF"/>
        </w:rPr>
        <w:t>substitute</w:t>
      </w:r>
      <w:r w:rsidRPr="00DF58C6">
        <w:t>:</w:t>
      </w:r>
    </w:p>
    <w:p w14:paraId="45C4FEBA" w14:textId="77777777" w:rsidR="00DF58C6" w:rsidRPr="00DF58C6" w:rsidRDefault="00DF58C6" w:rsidP="00577D11">
      <w:pPr>
        <w:pStyle w:val="FSCtblMRL1"/>
      </w:pPr>
      <w:r w:rsidRPr="00DF58C6">
        <w:t>Meat (mammalian)</w:t>
      </w:r>
    </w:p>
    <w:p w14:paraId="316D0A6D" w14:textId="77777777" w:rsidR="00DF58C6" w:rsidRPr="00DF58C6" w:rsidRDefault="00DF58C6" w:rsidP="00DF58C6">
      <w:pPr>
        <w:keepLines/>
        <w:widowControl/>
        <w:spacing w:before="20" w:after="20"/>
        <w:rPr>
          <w:rFonts w:cs="Arial"/>
          <w:sz w:val="18"/>
          <w:szCs w:val="20"/>
          <w:shd w:val="clear" w:color="auto" w:fill="FFFFFF"/>
          <w:lang w:eastAsia="en-AU" w:bidi="ar-SA"/>
        </w:rPr>
      </w:pPr>
    </w:p>
    <w:p w14:paraId="3F35BDCE" w14:textId="77777777" w:rsidR="00DF58C6" w:rsidRPr="00DF58C6" w:rsidRDefault="00DF58C6" w:rsidP="000E02A6">
      <w:pPr>
        <w:pStyle w:val="FSCDraftingitemheading"/>
        <w:rPr>
          <w:b w:val="0"/>
        </w:rPr>
      </w:pPr>
      <w:r w:rsidRPr="00DF58C6">
        <w:t>[49]</w:t>
      </w:r>
      <w:r w:rsidRPr="00DF58C6">
        <w:tab/>
        <w:t xml:space="preserve">Section S20—3 (table entry for </w:t>
      </w:r>
      <w:proofErr w:type="spellStart"/>
      <w:r w:rsidRPr="00DF58C6">
        <w:t>Agvet</w:t>
      </w:r>
      <w:proofErr w:type="spellEnd"/>
      <w:r w:rsidRPr="00DF58C6">
        <w:t xml:space="preserve"> chemical: Phosphorous acid)</w:t>
      </w:r>
    </w:p>
    <w:p w14:paraId="0BBF693F" w14:textId="77777777" w:rsidR="00DF58C6" w:rsidRPr="00DF58C6" w:rsidRDefault="00DF58C6" w:rsidP="000E02A6">
      <w:pPr>
        <w:pStyle w:val="FSCDraftingitem"/>
      </w:pPr>
      <w:r w:rsidRPr="00DF58C6">
        <w:tab/>
      </w:r>
      <w:r w:rsidRPr="00DF58C6">
        <w:rPr>
          <w:shd w:val="clear" w:color="auto" w:fill="FFFFFF"/>
        </w:rPr>
        <w:t>Omit</w:t>
      </w:r>
      <w:r w:rsidRPr="00DF58C6">
        <w:t>:</w:t>
      </w:r>
    </w:p>
    <w:p w14:paraId="49354E75" w14:textId="77777777" w:rsidR="00DF58C6" w:rsidRPr="00DF58C6" w:rsidRDefault="00DF58C6" w:rsidP="00577D11">
      <w:pPr>
        <w:pStyle w:val="FSCtblMRL1"/>
      </w:pPr>
      <w:r w:rsidRPr="00DF58C6">
        <w:rPr>
          <w:bCs/>
          <w:szCs w:val="18"/>
        </w:rPr>
        <w:t>Root</w:t>
      </w:r>
      <w:r w:rsidRPr="00DF58C6">
        <w:t xml:space="preserve"> and tuber vegetables (except potato)</w:t>
      </w:r>
    </w:p>
    <w:p w14:paraId="1D0FBDAA" w14:textId="77777777" w:rsidR="00DF58C6" w:rsidRPr="00DF58C6" w:rsidRDefault="00DF58C6" w:rsidP="000E02A6">
      <w:pPr>
        <w:pStyle w:val="FSCDraftingitem"/>
      </w:pPr>
      <w:r w:rsidRPr="00DF58C6">
        <w:tab/>
      </w:r>
      <w:r w:rsidRPr="00DF58C6">
        <w:rPr>
          <w:shd w:val="clear" w:color="auto" w:fill="FFFFFF"/>
        </w:rPr>
        <w:t>substitute</w:t>
      </w:r>
      <w:r w:rsidRPr="00DF58C6">
        <w:t>:</w:t>
      </w:r>
    </w:p>
    <w:p w14:paraId="7FEBF074" w14:textId="77777777" w:rsidR="00DF58C6" w:rsidRPr="00DF58C6" w:rsidRDefault="00DF58C6" w:rsidP="00577D11">
      <w:pPr>
        <w:pStyle w:val="FSCtblMRL1"/>
      </w:pPr>
      <w:r w:rsidRPr="00DF58C6">
        <w:t>Root and tuber vegetables [except potato]</w:t>
      </w:r>
    </w:p>
    <w:p w14:paraId="1974A035" w14:textId="77777777" w:rsidR="00DF58C6" w:rsidRPr="00DF58C6" w:rsidRDefault="00DF58C6" w:rsidP="00DF58C6">
      <w:pPr>
        <w:keepLines/>
        <w:widowControl/>
        <w:spacing w:before="20" w:after="20"/>
        <w:rPr>
          <w:rFonts w:cs="Arial"/>
          <w:b/>
          <w:sz w:val="20"/>
          <w:szCs w:val="20"/>
          <w:lang w:eastAsia="en-AU" w:bidi="ar-SA"/>
        </w:rPr>
      </w:pPr>
    </w:p>
    <w:p w14:paraId="2A32D3B8" w14:textId="77777777" w:rsidR="00DF58C6" w:rsidRPr="00DF58C6" w:rsidRDefault="00DF58C6" w:rsidP="000E02A6">
      <w:pPr>
        <w:pStyle w:val="FSCDraftingitemheading"/>
        <w:rPr>
          <w:b w:val="0"/>
        </w:rPr>
      </w:pPr>
      <w:bookmarkStart w:id="126" w:name="_Hlk118369346"/>
      <w:r w:rsidRPr="00DF58C6">
        <w:t>[50]</w:t>
      </w:r>
      <w:r w:rsidRPr="00DF58C6">
        <w:tab/>
        <w:t xml:space="preserve">Section S20—3 (table entry for </w:t>
      </w:r>
      <w:proofErr w:type="spellStart"/>
      <w:r w:rsidRPr="00DF58C6">
        <w:t>Agvet</w:t>
      </w:r>
      <w:proofErr w:type="spellEnd"/>
      <w:r w:rsidRPr="00DF58C6">
        <w:t xml:space="preserve"> chemical: Propyzamide)</w:t>
      </w:r>
    </w:p>
    <w:p w14:paraId="7AF0F1BD" w14:textId="77777777" w:rsidR="00DF58C6" w:rsidRPr="00DF58C6" w:rsidRDefault="00DF58C6" w:rsidP="000E02A6">
      <w:pPr>
        <w:pStyle w:val="FSCDraftingitem"/>
      </w:pPr>
      <w:r w:rsidRPr="00DF58C6">
        <w:tab/>
      </w:r>
      <w:r w:rsidRPr="00DF58C6">
        <w:rPr>
          <w:shd w:val="clear" w:color="auto" w:fill="FFFFFF"/>
        </w:rPr>
        <w:t>Insert</w:t>
      </w:r>
      <w:r w:rsidRPr="00DF58C6">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DF58C6" w:rsidRPr="00DF58C6" w14:paraId="2B794A0A" w14:textId="77777777">
        <w:tc>
          <w:tcPr>
            <w:tcW w:w="3402" w:type="dxa"/>
            <w:shd w:val="clear" w:color="auto" w:fill="FFFFFF"/>
            <w:tcMar>
              <w:top w:w="0" w:type="dxa"/>
              <w:left w:w="108" w:type="dxa"/>
              <w:bottom w:w="0" w:type="dxa"/>
              <w:right w:w="108" w:type="dxa"/>
            </w:tcMar>
            <w:hideMark/>
          </w:tcPr>
          <w:p w14:paraId="0876CCD6" w14:textId="77777777" w:rsidR="00DF58C6" w:rsidRPr="00DF58C6" w:rsidRDefault="00DF58C6" w:rsidP="00577D11">
            <w:pPr>
              <w:pStyle w:val="FSCtblMRL1"/>
              <w:rPr>
                <w:lang w:val="en-AU"/>
              </w:rPr>
            </w:pPr>
            <w:r w:rsidRPr="00DF58C6">
              <w:t>Pulses</w:t>
            </w:r>
          </w:p>
        </w:tc>
        <w:tc>
          <w:tcPr>
            <w:tcW w:w="1020" w:type="dxa"/>
            <w:shd w:val="clear" w:color="auto" w:fill="FFFFFF"/>
            <w:tcMar>
              <w:top w:w="0" w:type="dxa"/>
              <w:left w:w="108" w:type="dxa"/>
              <w:bottom w:w="0" w:type="dxa"/>
              <w:right w:w="108" w:type="dxa"/>
            </w:tcMar>
            <w:hideMark/>
          </w:tcPr>
          <w:p w14:paraId="509CD3E1" w14:textId="77777777" w:rsidR="00DF58C6" w:rsidRPr="00DF58C6" w:rsidRDefault="00DF58C6" w:rsidP="00577D11">
            <w:pPr>
              <w:pStyle w:val="FSCtblMRL2"/>
              <w:rPr>
                <w:lang w:val="en-AU" w:eastAsia="en-AU"/>
              </w:rPr>
            </w:pPr>
            <w:r w:rsidRPr="00DF58C6">
              <w:rPr>
                <w:lang w:val="en-AU" w:eastAsia="en-AU"/>
              </w:rPr>
              <w:t>*0.01</w:t>
            </w:r>
          </w:p>
        </w:tc>
      </w:tr>
      <w:bookmarkEnd w:id="126"/>
    </w:tbl>
    <w:p w14:paraId="671A194D" w14:textId="77777777" w:rsidR="00DF58C6" w:rsidRPr="00DF58C6" w:rsidRDefault="00DF58C6" w:rsidP="00DF58C6">
      <w:pPr>
        <w:spacing w:before="120" w:after="120"/>
        <w:ind w:left="851" w:hanging="851"/>
        <w:rPr>
          <w:b/>
          <w:sz w:val="20"/>
          <w:szCs w:val="20"/>
          <w:lang w:bidi="ar-SA"/>
        </w:rPr>
      </w:pPr>
    </w:p>
    <w:p w14:paraId="6F499D99" w14:textId="77777777" w:rsidR="00DF58C6" w:rsidRPr="00DF58C6" w:rsidRDefault="00DF58C6" w:rsidP="000E02A6">
      <w:pPr>
        <w:pStyle w:val="FSCDraftingitemheading"/>
        <w:rPr>
          <w:b w:val="0"/>
        </w:rPr>
      </w:pPr>
      <w:r w:rsidRPr="00DF58C6">
        <w:t>[51]</w:t>
      </w:r>
      <w:r w:rsidRPr="00DF58C6">
        <w:tab/>
        <w:t xml:space="preserve">Section S20—3 (table entry for </w:t>
      </w:r>
      <w:proofErr w:type="spellStart"/>
      <w:r w:rsidRPr="00DF58C6">
        <w:t>Agvet</w:t>
      </w:r>
      <w:proofErr w:type="spellEnd"/>
      <w:r w:rsidRPr="00DF58C6">
        <w:t xml:space="preserve"> chemical: </w:t>
      </w:r>
      <w:proofErr w:type="spellStart"/>
      <w:r w:rsidRPr="00DF58C6">
        <w:t>Prosulfocarb</w:t>
      </w:r>
      <w:proofErr w:type="spellEnd"/>
      <w:r w:rsidRPr="00DF58C6">
        <w:t>)</w:t>
      </w:r>
    </w:p>
    <w:p w14:paraId="762FF5BB" w14:textId="77777777" w:rsidR="00DF58C6" w:rsidRPr="00DF58C6" w:rsidRDefault="00DF58C6" w:rsidP="000E02A6">
      <w:pPr>
        <w:pStyle w:val="FSCDraftingitem"/>
      </w:pPr>
      <w:r w:rsidRPr="00DF58C6">
        <w:tab/>
      </w:r>
      <w:r w:rsidRPr="00DF58C6">
        <w:rPr>
          <w:shd w:val="clear" w:color="auto" w:fill="FFFFFF"/>
        </w:rPr>
        <w:t>Insert</w:t>
      </w:r>
      <w:r w:rsidRPr="00DF58C6">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DF58C6" w:rsidRPr="00DF58C6" w14:paraId="31B1FC73" w14:textId="77777777">
        <w:tc>
          <w:tcPr>
            <w:tcW w:w="3404" w:type="dxa"/>
            <w:shd w:val="clear" w:color="auto" w:fill="FFFFFF"/>
            <w:tcMar>
              <w:top w:w="0" w:type="dxa"/>
              <w:left w:w="108" w:type="dxa"/>
              <w:bottom w:w="0" w:type="dxa"/>
              <w:right w:w="108" w:type="dxa"/>
            </w:tcMar>
            <w:hideMark/>
          </w:tcPr>
          <w:p w14:paraId="28F31094" w14:textId="77777777" w:rsidR="00DF58C6" w:rsidRPr="00DF58C6" w:rsidRDefault="00DF58C6" w:rsidP="00577D11">
            <w:pPr>
              <w:pStyle w:val="FSCtblMRL1"/>
              <w:rPr>
                <w:lang w:val="en-AU"/>
              </w:rPr>
            </w:pPr>
            <w:r w:rsidRPr="00DF58C6">
              <w:t>Pulses</w:t>
            </w:r>
          </w:p>
        </w:tc>
        <w:tc>
          <w:tcPr>
            <w:tcW w:w="1021" w:type="dxa"/>
            <w:shd w:val="clear" w:color="auto" w:fill="FFFFFF"/>
            <w:tcMar>
              <w:top w:w="0" w:type="dxa"/>
              <w:left w:w="108" w:type="dxa"/>
              <w:bottom w:w="0" w:type="dxa"/>
              <w:right w:w="108" w:type="dxa"/>
            </w:tcMar>
            <w:hideMark/>
          </w:tcPr>
          <w:p w14:paraId="0FCFCB2B" w14:textId="77777777" w:rsidR="00DF58C6" w:rsidRPr="00DF58C6" w:rsidRDefault="00DF58C6" w:rsidP="00577D11">
            <w:pPr>
              <w:pStyle w:val="FSCtblMRL2"/>
              <w:rPr>
                <w:lang w:val="en-AU" w:eastAsia="en-AU"/>
              </w:rPr>
            </w:pPr>
            <w:r w:rsidRPr="00DF58C6">
              <w:rPr>
                <w:lang w:val="en-AU" w:eastAsia="en-AU"/>
              </w:rPr>
              <w:t>*0.01</w:t>
            </w:r>
          </w:p>
        </w:tc>
      </w:tr>
    </w:tbl>
    <w:p w14:paraId="142E9ABA" w14:textId="77777777" w:rsidR="00DF58C6" w:rsidRPr="00DF58C6" w:rsidRDefault="00DF58C6" w:rsidP="00DF58C6">
      <w:pPr>
        <w:keepLines/>
        <w:widowControl/>
        <w:spacing w:before="20" w:after="20"/>
        <w:rPr>
          <w:rFonts w:cs="Arial"/>
          <w:sz w:val="18"/>
          <w:szCs w:val="20"/>
          <w:lang w:eastAsia="en-AU" w:bidi="ar-SA"/>
        </w:rPr>
      </w:pPr>
    </w:p>
    <w:p w14:paraId="17270109" w14:textId="77777777" w:rsidR="00DF58C6" w:rsidRPr="00DF58C6" w:rsidRDefault="00DF58C6" w:rsidP="000E02A6">
      <w:pPr>
        <w:pStyle w:val="FSCDraftingitemheading"/>
        <w:rPr>
          <w:b w:val="0"/>
        </w:rPr>
      </w:pPr>
      <w:r w:rsidRPr="00DF58C6">
        <w:t>[52]</w:t>
      </w:r>
      <w:r w:rsidRPr="00DF58C6">
        <w:tab/>
        <w:t xml:space="preserve">Section S20—3 (table entry for </w:t>
      </w:r>
      <w:proofErr w:type="spellStart"/>
      <w:r w:rsidRPr="00DF58C6">
        <w:t>Agvet</w:t>
      </w:r>
      <w:proofErr w:type="spellEnd"/>
      <w:r w:rsidRPr="00DF58C6">
        <w:t xml:space="preserve"> chemical: </w:t>
      </w:r>
      <w:proofErr w:type="spellStart"/>
      <w:r w:rsidRPr="00DF58C6">
        <w:t>Prothioconazole</w:t>
      </w:r>
      <w:proofErr w:type="spellEnd"/>
      <w:r w:rsidRPr="00DF58C6">
        <w:t>)</w:t>
      </w:r>
    </w:p>
    <w:p w14:paraId="4E5F6CBE" w14:textId="77777777" w:rsidR="00DF58C6" w:rsidRPr="00DF58C6" w:rsidRDefault="00DF58C6" w:rsidP="000E02A6">
      <w:pPr>
        <w:pStyle w:val="FSCDraftingitem"/>
      </w:pPr>
      <w:r w:rsidRPr="00DF58C6">
        <w:tab/>
      </w:r>
      <w:r w:rsidRPr="00DF58C6">
        <w:rPr>
          <w:shd w:val="clear" w:color="auto" w:fill="FFFFFF"/>
        </w:rPr>
        <w:t>Insert</w:t>
      </w:r>
      <w:r w:rsidRPr="00DF58C6">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DF58C6" w:rsidRPr="00DF58C6" w14:paraId="09010C72" w14:textId="77777777">
        <w:tc>
          <w:tcPr>
            <w:tcW w:w="3402" w:type="dxa"/>
            <w:shd w:val="clear" w:color="auto" w:fill="FFFFFF"/>
            <w:tcMar>
              <w:top w:w="0" w:type="dxa"/>
              <w:left w:w="108" w:type="dxa"/>
              <w:bottom w:w="0" w:type="dxa"/>
              <w:right w:w="108" w:type="dxa"/>
            </w:tcMar>
            <w:hideMark/>
          </w:tcPr>
          <w:p w14:paraId="3DDB90E3" w14:textId="77777777" w:rsidR="00DF58C6" w:rsidRPr="00DF58C6" w:rsidRDefault="00DF58C6" w:rsidP="00577D11">
            <w:pPr>
              <w:pStyle w:val="FSCtblMRL1"/>
              <w:rPr>
                <w:lang w:val="en-AU"/>
              </w:rPr>
            </w:pPr>
            <w:r w:rsidRPr="00DF58C6">
              <w:t>Pulses</w:t>
            </w:r>
          </w:p>
        </w:tc>
        <w:tc>
          <w:tcPr>
            <w:tcW w:w="1020" w:type="dxa"/>
            <w:shd w:val="clear" w:color="auto" w:fill="FFFFFF"/>
            <w:tcMar>
              <w:top w:w="0" w:type="dxa"/>
              <w:left w:w="108" w:type="dxa"/>
              <w:bottom w:w="0" w:type="dxa"/>
              <w:right w:w="108" w:type="dxa"/>
            </w:tcMar>
            <w:hideMark/>
          </w:tcPr>
          <w:p w14:paraId="2B522277" w14:textId="5D5A84F1" w:rsidR="00DF58C6" w:rsidRPr="00DF58C6" w:rsidRDefault="00191B24" w:rsidP="00577D11">
            <w:pPr>
              <w:pStyle w:val="FSCtblMRL2"/>
              <w:rPr>
                <w:lang w:val="en-AU" w:eastAsia="en-AU"/>
              </w:rPr>
            </w:pPr>
            <w:r>
              <w:rPr>
                <w:lang w:val="en-AU" w:eastAsia="en-AU"/>
              </w:rPr>
              <w:t xml:space="preserve">  </w:t>
            </w:r>
            <w:r w:rsidR="00DF58C6" w:rsidRPr="00DF58C6">
              <w:rPr>
                <w:lang w:val="en-AU" w:eastAsia="en-AU"/>
              </w:rPr>
              <w:t>T0.7</w:t>
            </w:r>
          </w:p>
        </w:tc>
      </w:tr>
    </w:tbl>
    <w:p w14:paraId="08472365" w14:textId="77777777" w:rsidR="00DF58C6" w:rsidRPr="00DF58C6" w:rsidRDefault="00DF58C6" w:rsidP="00DF58C6">
      <w:pPr>
        <w:keepLines/>
        <w:widowControl/>
        <w:spacing w:before="20" w:after="20"/>
        <w:ind w:left="-105"/>
        <w:rPr>
          <w:rFonts w:cs="Arial"/>
          <w:b/>
          <w:color w:val="FF0000"/>
          <w:sz w:val="18"/>
          <w:szCs w:val="20"/>
          <w:lang w:eastAsia="en-AU" w:bidi="ar-SA"/>
        </w:rPr>
      </w:pPr>
    </w:p>
    <w:p w14:paraId="2C259317" w14:textId="77777777" w:rsidR="00DF58C6" w:rsidRPr="00DF58C6" w:rsidRDefault="00DF58C6" w:rsidP="000E02A6">
      <w:pPr>
        <w:pStyle w:val="FSCDraftingitemheading"/>
        <w:rPr>
          <w:b w:val="0"/>
        </w:rPr>
      </w:pPr>
      <w:bookmarkStart w:id="127" w:name="_Hlk118369569"/>
      <w:r w:rsidRPr="00DF58C6">
        <w:t>[53]</w:t>
      </w:r>
      <w:r w:rsidRPr="00DF58C6">
        <w:tab/>
        <w:t xml:space="preserve">Section S20—3 (table entry for </w:t>
      </w:r>
      <w:proofErr w:type="spellStart"/>
      <w:r w:rsidRPr="00DF58C6">
        <w:t>Agvet</w:t>
      </w:r>
      <w:proofErr w:type="spellEnd"/>
      <w:r w:rsidRPr="00DF58C6">
        <w:t xml:space="preserve"> chemical: </w:t>
      </w:r>
      <w:proofErr w:type="spellStart"/>
      <w:r w:rsidRPr="00DF58C6">
        <w:t>Pydiflumetofen</w:t>
      </w:r>
      <w:proofErr w:type="spellEnd"/>
      <w:r w:rsidRPr="00DF58C6">
        <w:t>)</w:t>
      </w:r>
    </w:p>
    <w:p w14:paraId="38889214" w14:textId="77777777" w:rsidR="00DF58C6" w:rsidRPr="00DF58C6" w:rsidRDefault="00DF58C6" w:rsidP="000E02A6">
      <w:pPr>
        <w:pStyle w:val="FSCDraftingitem"/>
      </w:pPr>
      <w:r w:rsidRPr="00DF58C6">
        <w:t>[53.1]</w:t>
      </w:r>
      <w:r w:rsidRPr="00DF58C6">
        <w:tab/>
      </w:r>
      <w:r w:rsidRPr="00DF58C6">
        <w:rPr>
          <w:shd w:val="clear" w:color="auto" w:fill="FFFFFF"/>
        </w:rPr>
        <w:t>Omit</w:t>
      </w:r>
      <w:r w:rsidRPr="00DF58C6">
        <w:t>:</w:t>
      </w:r>
    </w:p>
    <w:p w14:paraId="6A58CFFF" w14:textId="77777777" w:rsidR="00DF58C6" w:rsidRPr="00DF58C6" w:rsidRDefault="00DF58C6" w:rsidP="00577D11">
      <w:pPr>
        <w:pStyle w:val="FSCtblMRL1"/>
      </w:pPr>
      <w:r w:rsidRPr="00DF58C6">
        <w:t>Leafy vegetables (except brassica leafy vegetables) [except witloof chicory]</w:t>
      </w:r>
    </w:p>
    <w:p w14:paraId="6C305575" w14:textId="77777777" w:rsidR="00DF58C6" w:rsidRPr="00DF58C6" w:rsidRDefault="00DF58C6" w:rsidP="000E02A6">
      <w:pPr>
        <w:pStyle w:val="FSCDraftingitem"/>
      </w:pPr>
      <w:r w:rsidRPr="00DF58C6">
        <w:tab/>
      </w:r>
      <w:r w:rsidRPr="00DF58C6">
        <w:rPr>
          <w:shd w:val="clear" w:color="auto" w:fill="FFFFFF"/>
        </w:rPr>
        <w:t>substitute</w:t>
      </w:r>
      <w:r w:rsidRPr="00DF58C6">
        <w:t>:</w:t>
      </w:r>
    </w:p>
    <w:p w14:paraId="154B51F5" w14:textId="77777777" w:rsidR="00DF58C6" w:rsidRPr="00DF58C6" w:rsidRDefault="00DF58C6" w:rsidP="00577D11">
      <w:pPr>
        <w:pStyle w:val="FSCtblMRL1"/>
      </w:pPr>
      <w:r w:rsidRPr="00DF58C6">
        <w:t>Leafy vegetables [except brassica leafy vegetables; witloof chicory]</w:t>
      </w:r>
    </w:p>
    <w:p w14:paraId="0593DF93" w14:textId="77777777" w:rsidR="00DF58C6" w:rsidRPr="00DF58C6" w:rsidRDefault="00DF58C6" w:rsidP="00DF58C6">
      <w:pPr>
        <w:spacing w:before="120" w:after="120"/>
        <w:ind w:left="851" w:hanging="851"/>
        <w:rPr>
          <w:b/>
          <w:sz w:val="20"/>
          <w:szCs w:val="20"/>
          <w:lang w:bidi="ar-SA"/>
        </w:rPr>
      </w:pPr>
    </w:p>
    <w:p w14:paraId="14F4CD64" w14:textId="77777777" w:rsidR="00DF58C6" w:rsidRPr="00DF58C6" w:rsidRDefault="00DF58C6" w:rsidP="000E02A6">
      <w:pPr>
        <w:pStyle w:val="FSCDraftingitem"/>
      </w:pPr>
      <w:r w:rsidRPr="00DF58C6">
        <w:t>[53.2]</w:t>
      </w:r>
      <w:r w:rsidRPr="00DF58C6">
        <w:tab/>
      </w:r>
      <w:r w:rsidRPr="00DF58C6">
        <w:rPr>
          <w:shd w:val="clear" w:color="auto" w:fill="FFFFFF"/>
        </w:rPr>
        <w:t>Omit</w:t>
      </w:r>
      <w:r w:rsidRPr="00DF58C6">
        <w:t xml:space="preserve"> </w:t>
      </w:r>
      <w:r w:rsidRPr="000E02A6">
        <w:rPr>
          <w:shd w:val="clear" w:color="auto" w:fill="FFFFFF"/>
        </w:rPr>
        <w:t>the</w:t>
      </w:r>
      <w:r w:rsidRPr="00DF58C6">
        <w:t xml:space="preserve"> following food commodities and their associated MRLs: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EF76B5" w:rsidRPr="00DF58C6" w14:paraId="2A7492F8" w14:textId="767AD09A" w:rsidTr="0061199A">
        <w:tc>
          <w:tcPr>
            <w:tcW w:w="3544" w:type="dxa"/>
            <w:hideMark/>
          </w:tcPr>
          <w:p w14:paraId="0E7837A5" w14:textId="77777777" w:rsidR="00EF76B5" w:rsidRPr="00DF58C6" w:rsidRDefault="00EF76B5" w:rsidP="00577D11">
            <w:pPr>
              <w:pStyle w:val="FSCtblMRL1"/>
            </w:pPr>
            <w:r w:rsidRPr="00DF58C6">
              <w:t>Aquatic root and tuber vegetable</w:t>
            </w:r>
          </w:p>
        </w:tc>
        <w:tc>
          <w:tcPr>
            <w:tcW w:w="1134" w:type="dxa"/>
          </w:tcPr>
          <w:p w14:paraId="60A1A5A5" w14:textId="2195E4AD" w:rsidR="00EF76B5" w:rsidRPr="00DF58C6" w:rsidRDefault="00EF76B5" w:rsidP="008A6A0E">
            <w:pPr>
              <w:pStyle w:val="FSCtblMRL2"/>
            </w:pPr>
            <w:r w:rsidRPr="00DF58C6">
              <w:rPr>
                <w:lang w:val="en-AU"/>
              </w:rPr>
              <w:t>T0.05</w:t>
            </w:r>
          </w:p>
        </w:tc>
      </w:tr>
      <w:tr w:rsidR="00EF76B5" w:rsidRPr="00DF58C6" w14:paraId="09ACC332" w14:textId="4521CE4A" w:rsidTr="0061199A">
        <w:tc>
          <w:tcPr>
            <w:tcW w:w="3544" w:type="dxa"/>
            <w:hideMark/>
          </w:tcPr>
          <w:p w14:paraId="5536FFC5" w14:textId="77777777" w:rsidR="00EF76B5" w:rsidRPr="00DF58C6" w:rsidRDefault="00EF76B5" w:rsidP="00577D11">
            <w:pPr>
              <w:pStyle w:val="FSCtblMRL1"/>
            </w:pPr>
            <w:r w:rsidRPr="00DF58C6">
              <w:t>Root vegetables</w:t>
            </w:r>
          </w:p>
        </w:tc>
        <w:tc>
          <w:tcPr>
            <w:tcW w:w="1134" w:type="dxa"/>
          </w:tcPr>
          <w:p w14:paraId="3CF3BF4E" w14:textId="402BA715" w:rsidR="00EF76B5" w:rsidRPr="00DF58C6" w:rsidRDefault="00EF76B5" w:rsidP="008A6A0E">
            <w:pPr>
              <w:pStyle w:val="FSCtblMRL2"/>
            </w:pPr>
            <w:r w:rsidRPr="00DF58C6">
              <w:rPr>
                <w:lang w:val="en-AU"/>
              </w:rPr>
              <w:t>0.1</w:t>
            </w:r>
          </w:p>
        </w:tc>
      </w:tr>
      <w:tr w:rsidR="00EF76B5" w:rsidRPr="00DF58C6" w14:paraId="6381F9F2" w14:textId="2A28A14B" w:rsidTr="0061199A">
        <w:tc>
          <w:tcPr>
            <w:tcW w:w="3544" w:type="dxa"/>
            <w:hideMark/>
          </w:tcPr>
          <w:p w14:paraId="43C902F2" w14:textId="77777777" w:rsidR="00EF76B5" w:rsidRPr="00DF58C6" w:rsidRDefault="00EF76B5" w:rsidP="00577D11">
            <w:pPr>
              <w:pStyle w:val="FSCtblMRL1"/>
            </w:pPr>
            <w:r w:rsidRPr="00DF58C6">
              <w:t>Tuberous and corm vegetables</w:t>
            </w:r>
          </w:p>
        </w:tc>
        <w:tc>
          <w:tcPr>
            <w:tcW w:w="1134" w:type="dxa"/>
          </w:tcPr>
          <w:p w14:paraId="73C070F1" w14:textId="1C0C22B2" w:rsidR="00EF76B5" w:rsidRPr="00DF58C6" w:rsidRDefault="00EF76B5" w:rsidP="008A6A0E">
            <w:pPr>
              <w:pStyle w:val="FSCtblMRL2"/>
            </w:pPr>
            <w:r w:rsidRPr="00DF58C6">
              <w:rPr>
                <w:lang w:val="en-AU"/>
              </w:rPr>
              <w:t>0.1</w:t>
            </w:r>
          </w:p>
        </w:tc>
      </w:tr>
    </w:tbl>
    <w:p w14:paraId="1FBD708D" w14:textId="77777777" w:rsidR="00607C50" w:rsidRDefault="00607C50" w:rsidP="00DF58C6">
      <w:pPr>
        <w:spacing w:before="120" w:after="120"/>
        <w:ind w:left="851" w:hanging="851"/>
        <w:rPr>
          <w:b/>
          <w:sz w:val="20"/>
          <w:szCs w:val="20"/>
          <w:lang w:bidi="ar-SA"/>
        </w:rPr>
      </w:pPr>
    </w:p>
    <w:p w14:paraId="28AE688C" w14:textId="4CACE441" w:rsidR="00DF58C6" w:rsidRPr="00DF58C6" w:rsidRDefault="00DF58C6" w:rsidP="00C5183F">
      <w:pPr>
        <w:pStyle w:val="FSCDraftingitemheading"/>
        <w:rPr>
          <w:b w:val="0"/>
        </w:rPr>
      </w:pPr>
      <w:r w:rsidRPr="00DF58C6">
        <w:t>[54]</w:t>
      </w:r>
      <w:r w:rsidRPr="00DF58C6">
        <w:tab/>
        <w:t xml:space="preserve">Section S20—3 (table entry for </w:t>
      </w:r>
      <w:proofErr w:type="spellStart"/>
      <w:r w:rsidRPr="00DF58C6">
        <w:t>Agvet</w:t>
      </w:r>
      <w:proofErr w:type="spellEnd"/>
      <w:r w:rsidRPr="00DF58C6">
        <w:t xml:space="preserve"> chemical: </w:t>
      </w:r>
      <w:proofErr w:type="spellStart"/>
      <w:r w:rsidRPr="00DF58C6">
        <w:t>Pyraflufen</w:t>
      </w:r>
      <w:proofErr w:type="spellEnd"/>
      <w:r w:rsidRPr="00DF58C6">
        <w:t>-ethyl)</w:t>
      </w:r>
    </w:p>
    <w:p w14:paraId="45ED87F1" w14:textId="77777777" w:rsidR="00DF58C6" w:rsidRPr="00DF58C6" w:rsidRDefault="00DF58C6" w:rsidP="00D7317F">
      <w:pPr>
        <w:pStyle w:val="FSCDraftingitem"/>
      </w:pPr>
      <w:r w:rsidRPr="00DF58C6">
        <w:tab/>
      </w:r>
      <w:r w:rsidRPr="00D7317F">
        <w:t>Insert</w:t>
      </w:r>
      <w:r w:rsidRPr="00DF58C6">
        <w:t>:</w:t>
      </w:r>
    </w:p>
    <w:tbl>
      <w:tblPr>
        <w:tblW w:w="4678" w:type="dxa"/>
        <w:shd w:val="clear" w:color="auto" w:fill="FFFFFF"/>
        <w:tblCellMar>
          <w:left w:w="0" w:type="dxa"/>
          <w:right w:w="0" w:type="dxa"/>
        </w:tblCellMar>
        <w:tblLook w:val="04A0" w:firstRow="1" w:lastRow="0" w:firstColumn="1" w:lastColumn="0" w:noHBand="0" w:noVBand="1"/>
      </w:tblPr>
      <w:tblGrid>
        <w:gridCol w:w="3544"/>
        <w:gridCol w:w="1134"/>
      </w:tblGrid>
      <w:tr w:rsidR="00DF58C6" w:rsidRPr="00DF58C6" w14:paraId="50335AEE" w14:textId="77777777" w:rsidTr="0096248D">
        <w:tc>
          <w:tcPr>
            <w:tcW w:w="3544" w:type="dxa"/>
            <w:shd w:val="clear" w:color="auto" w:fill="FFFFFF"/>
            <w:tcMar>
              <w:top w:w="0" w:type="dxa"/>
              <w:left w:w="108" w:type="dxa"/>
              <w:bottom w:w="0" w:type="dxa"/>
              <w:right w:w="108" w:type="dxa"/>
            </w:tcMar>
            <w:hideMark/>
          </w:tcPr>
          <w:p w14:paraId="44851486" w14:textId="77777777" w:rsidR="00DF58C6" w:rsidRPr="00DF58C6" w:rsidRDefault="00DF58C6" w:rsidP="00DB36C4">
            <w:pPr>
              <w:pStyle w:val="FSCtblMRL1"/>
              <w:rPr>
                <w:lang w:val="en-AU"/>
              </w:rPr>
            </w:pPr>
            <w:r w:rsidRPr="00DF58C6">
              <w:t>Pulses</w:t>
            </w:r>
          </w:p>
        </w:tc>
        <w:tc>
          <w:tcPr>
            <w:tcW w:w="1134" w:type="dxa"/>
            <w:shd w:val="clear" w:color="auto" w:fill="FFFFFF"/>
            <w:tcMar>
              <w:top w:w="0" w:type="dxa"/>
              <w:left w:w="108" w:type="dxa"/>
              <w:bottom w:w="0" w:type="dxa"/>
              <w:right w:w="108" w:type="dxa"/>
            </w:tcMar>
            <w:hideMark/>
          </w:tcPr>
          <w:p w14:paraId="407128B4" w14:textId="6A2036CE" w:rsidR="00DF58C6" w:rsidRPr="00DF58C6" w:rsidRDefault="00083F13" w:rsidP="003012B6">
            <w:pPr>
              <w:pStyle w:val="FSCtblMRL2"/>
              <w:tabs>
                <w:tab w:val="left" w:pos="420"/>
              </w:tabs>
              <w:ind w:right="-10"/>
              <w:jc w:val="left"/>
              <w:rPr>
                <w:rFonts w:eastAsia="Calibri"/>
              </w:rPr>
            </w:pPr>
            <w:r>
              <w:rPr>
                <w:rFonts w:eastAsia="Calibri"/>
              </w:rPr>
              <w:t xml:space="preserve">       </w:t>
            </w:r>
            <w:r w:rsidR="00DF58C6" w:rsidRPr="00DF58C6">
              <w:rPr>
                <w:rFonts w:eastAsia="Calibri"/>
              </w:rPr>
              <w:t>*0.02</w:t>
            </w:r>
          </w:p>
        </w:tc>
      </w:tr>
      <w:bookmarkEnd w:id="127"/>
    </w:tbl>
    <w:p w14:paraId="5D34389F" w14:textId="77777777" w:rsidR="00DF58C6" w:rsidRPr="00DF58C6" w:rsidRDefault="00DF58C6" w:rsidP="00DF58C6">
      <w:pPr>
        <w:tabs>
          <w:tab w:val="left" w:pos="851"/>
        </w:tabs>
        <w:autoSpaceDE w:val="0"/>
        <w:autoSpaceDN w:val="0"/>
        <w:adjustRightInd w:val="0"/>
        <w:rPr>
          <w:b/>
          <w:color w:val="FF0000"/>
          <w:szCs w:val="20"/>
          <w:lang w:bidi="ar-SA"/>
        </w:rPr>
      </w:pPr>
    </w:p>
    <w:p w14:paraId="376D15A3" w14:textId="77777777" w:rsidR="00DF58C6" w:rsidRPr="00DF58C6" w:rsidRDefault="00DF58C6" w:rsidP="00C5183F">
      <w:pPr>
        <w:pStyle w:val="FSCDraftingitemheading"/>
        <w:rPr>
          <w:b w:val="0"/>
        </w:rPr>
      </w:pPr>
      <w:bookmarkStart w:id="128" w:name="_Hlk118369653"/>
      <w:r w:rsidRPr="00DF58C6">
        <w:t>[55]</w:t>
      </w:r>
      <w:r w:rsidRPr="00DF58C6">
        <w:tab/>
        <w:t xml:space="preserve">Section S20—3 (table entry for </w:t>
      </w:r>
      <w:proofErr w:type="spellStart"/>
      <w:r w:rsidRPr="00DF58C6">
        <w:t>Agvet</w:t>
      </w:r>
      <w:proofErr w:type="spellEnd"/>
      <w:r w:rsidRPr="00DF58C6">
        <w:t xml:space="preserve"> chemical: </w:t>
      </w:r>
      <w:proofErr w:type="spellStart"/>
      <w:r w:rsidRPr="00DF58C6">
        <w:t>Pyroxasulfone</w:t>
      </w:r>
      <w:proofErr w:type="spellEnd"/>
      <w:r w:rsidRPr="00DF58C6">
        <w:t>)</w:t>
      </w:r>
    </w:p>
    <w:p w14:paraId="6EE3DAF0" w14:textId="77777777" w:rsidR="00DF58C6" w:rsidRPr="00DF58C6" w:rsidRDefault="00DF58C6" w:rsidP="00D7317F">
      <w:pPr>
        <w:pStyle w:val="FSCDraftingitem"/>
      </w:pPr>
      <w:r w:rsidRPr="00DF58C6">
        <w:tab/>
      </w:r>
      <w:r w:rsidRPr="00D7317F">
        <w:t>Insert</w:t>
      </w:r>
      <w:r w:rsidRPr="00DF58C6">
        <w:t>:</w:t>
      </w:r>
    </w:p>
    <w:tbl>
      <w:tblPr>
        <w:tblW w:w="4678" w:type="dxa"/>
        <w:shd w:val="clear" w:color="auto" w:fill="FFFFFF"/>
        <w:tblCellMar>
          <w:left w:w="0" w:type="dxa"/>
          <w:right w:w="0" w:type="dxa"/>
        </w:tblCellMar>
        <w:tblLook w:val="04A0" w:firstRow="1" w:lastRow="0" w:firstColumn="1" w:lastColumn="0" w:noHBand="0" w:noVBand="1"/>
      </w:tblPr>
      <w:tblGrid>
        <w:gridCol w:w="3544"/>
        <w:gridCol w:w="1134"/>
      </w:tblGrid>
      <w:tr w:rsidR="00DF58C6" w:rsidRPr="00DF58C6" w14:paraId="384DC043" w14:textId="77777777" w:rsidTr="0096248D">
        <w:tc>
          <w:tcPr>
            <w:tcW w:w="3544" w:type="dxa"/>
            <w:shd w:val="clear" w:color="auto" w:fill="FFFFFF"/>
            <w:tcMar>
              <w:top w:w="0" w:type="dxa"/>
              <w:left w:w="108" w:type="dxa"/>
              <w:bottom w:w="0" w:type="dxa"/>
              <w:right w:w="108" w:type="dxa"/>
            </w:tcMar>
            <w:hideMark/>
          </w:tcPr>
          <w:p w14:paraId="36532964" w14:textId="77777777" w:rsidR="00DF58C6" w:rsidRPr="00DF58C6" w:rsidRDefault="00DF58C6" w:rsidP="00DB36C4">
            <w:pPr>
              <w:pStyle w:val="FSCtblMRL1"/>
              <w:rPr>
                <w:lang w:val="en-AU"/>
              </w:rPr>
            </w:pPr>
            <w:r w:rsidRPr="00DF58C6">
              <w:t>Pulses</w:t>
            </w:r>
          </w:p>
        </w:tc>
        <w:tc>
          <w:tcPr>
            <w:tcW w:w="1134" w:type="dxa"/>
            <w:shd w:val="clear" w:color="auto" w:fill="FFFFFF"/>
            <w:tcMar>
              <w:top w:w="0" w:type="dxa"/>
              <w:left w:w="108" w:type="dxa"/>
              <w:bottom w:w="0" w:type="dxa"/>
              <w:right w:w="108" w:type="dxa"/>
            </w:tcMar>
            <w:hideMark/>
          </w:tcPr>
          <w:p w14:paraId="2F67B314" w14:textId="0BAD7D33" w:rsidR="00DF58C6" w:rsidRPr="00AF7D35" w:rsidRDefault="00AF7D35" w:rsidP="00AF7D35">
            <w:pPr>
              <w:pStyle w:val="FSCtblMRL2"/>
              <w:jc w:val="left"/>
              <w:rPr>
                <w:rFonts w:eastAsia="Calibri"/>
              </w:rPr>
            </w:pPr>
            <w:r>
              <w:rPr>
                <w:rFonts w:eastAsia="Calibri"/>
              </w:rPr>
              <w:t xml:space="preserve">       </w:t>
            </w:r>
            <w:r w:rsidR="00DF58C6" w:rsidRPr="00AF7D35">
              <w:rPr>
                <w:rFonts w:eastAsia="Calibri"/>
              </w:rPr>
              <w:t>*0.01</w:t>
            </w:r>
          </w:p>
        </w:tc>
      </w:tr>
      <w:bookmarkEnd w:id="128"/>
    </w:tbl>
    <w:p w14:paraId="19D59472" w14:textId="77777777" w:rsidR="00DF58C6" w:rsidRPr="00DF58C6" w:rsidRDefault="00DF58C6" w:rsidP="00DF58C6">
      <w:pPr>
        <w:tabs>
          <w:tab w:val="left" w:pos="851"/>
        </w:tabs>
        <w:autoSpaceDE w:val="0"/>
        <w:autoSpaceDN w:val="0"/>
        <w:adjustRightInd w:val="0"/>
        <w:rPr>
          <w:b/>
          <w:color w:val="FF0000"/>
          <w:szCs w:val="20"/>
          <w:lang w:bidi="ar-SA"/>
        </w:rPr>
      </w:pPr>
    </w:p>
    <w:p w14:paraId="31ACA58B" w14:textId="77777777" w:rsidR="00DF58C6" w:rsidRPr="00DF58C6" w:rsidRDefault="00DF58C6" w:rsidP="00C5183F">
      <w:pPr>
        <w:pStyle w:val="FSCDraftingitemheading"/>
        <w:rPr>
          <w:b w:val="0"/>
        </w:rPr>
      </w:pPr>
      <w:r w:rsidRPr="00DF58C6">
        <w:t>[56]</w:t>
      </w:r>
      <w:r w:rsidRPr="00DF58C6">
        <w:tab/>
        <w:t xml:space="preserve">Section S20—3 (table entry for </w:t>
      </w:r>
      <w:proofErr w:type="spellStart"/>
      <w:r w:rsidRPr="00DF58C6">
        <w:t>Agvet</w:t>
      </w:r>
      <w:proofErr w:type="spellEnd"/>
      <w:r w:rsidRPr="00DF58C6">
        <w:t xml:space="preserve"> chemical: </w:t>
      </w:r>
      <w:proofErr w:type="spellStart"/>
      <w:r w:rsidRPr="00DF58C6">
        <w:t>Sethoxydim</w:t>
      </w:r>
      <w:proofErr w:type="spellEnd"/>
      <w:r w:rsidRPr="00DF58C6">
        <w:t>)</w:t>
      </w:r>
    </w:p>
    <w:p w14:paraId="47578DF4" w14:textId="77777777" w:rsidR="00DF58C6" w:rsidRPr="00DF58C6" w:rsidRDefault="00DF58C6" w:rsidP="00D7317F">
      <w:pPr>
        <w:pStyle w:val="FSCDraftingitem"/>
      </w:pPr>
      <w:r w:rsidRPr="00DF58C6">
        <w:tab/>
      </w:r>
      <w:r w:rsidRPr="00D7317F">
        <w:t>Insert</w:t>
      </w:r>
      <w:r w:rsidRPr="00DF58C6">
        <w:t>:</w:t>
      </w:r>
    </w:p>
    <w:tbl>
      <w:tblPr>
        <w:tblW w:w="4678" w:type="dxa"/>
        <w:shd w:val="clear" w:color="auto" w:fill="FFFFFF"/>
        <w:tblCellMar>
          <w:left w:w="0" w:type="dxa"/>
          <w:right w:w="0" w:type="dxa"/>
        </w:tblCellMar>
        <w:tblLook w:val="04A0" w:firstRow="1" w:lastRow="0" w:firstColumn="1" w:lastColumn="0" w:noHBand="0" w:noVBand="1"/>
      </w:tblPr>
      <w:tblGrid>
        <w:gridCol w:w="3544"/>
        <w:gridCol w:w="1134"/>
      </w:tblGrid>
      <w:tr w:rsidR="00DF58C6" w:rsidRPr="00DF58C6" w14:paraId="0E17D93E" w14:textId="77777777" w:rsidTr="0096248D">
        <w:tc>
          <w:tcPr>
            <w:tcW w:w="3544" w:type="dxa"/>
            <w:shd w:val="clear" w:color="auto" w:fill="FFFFFF"/>
            <w:tcMar>
              <w:top w:w="0" w:type="dxa"/>
              <w:left w:w="108" w:type="dxa"/>
              <w:bottom w:w="0" w:type="dxa"/>
              <w:right w:w="108" w:type="dxa"/>
            </w:tcMar>
            <w:hideMark/>
          </w:tcPr>
          <w:p w14:paraId="04ED95EC" w14:textId="77777777" w:rsidR="00DF58C6" w:rsidRPr="00DF58C6" w:rsidRDefault="00DF58C6" w:rsidP="00DB36C4">
            <w:pPr>
              <w:pStyle w:val="FSCtblMRL1"/>
              <w:rPr>
                <w:lang w:val="en-AU"/>
              </w:rPr>
            </w:pPr>
            <w:r w:rsidRPr="00DB36C4">
              <w:t>Pulses</w:t>
            </w:r>
            <w:r w:rsidRPr="00DF58C6">
              <w:t xml:space="preserve"> [except beans (dry); lupin (dry)]</w:t>
            </w:r>
          </w:p>
        </w:tc>
        <w:tc>
          <w:tcPr>
            <w:tcW w:w="1134" w:type="dxa"/>
            <w:shd w:val="clear" w:color="auto" w:fill="FFFFFF"/>
            <w:tcMar>
              <w:top w:w="0" w:type="dxa"/>
              <w:left w:w="108" w:type="dxa"/>
              <w:bottom w:w="0" w:type="dxa"/>
              <w:right w:w="108" w:type="dxa"/>
            </w:tcMar>
            <w:hideMark/>
          </w:tcPr>
          <w:p w14:paraId="299D2EC4" w14:textId="151D0319" w:rsidR="00DF58C6" w:rsidRPr="00DF58C6" w:rsidRDefault="00AF7D35" w:rsidP="00AF7D35">
            <w:pPr>
              <w:pStyle w:val="FSCtblMRL2"/>
              <w:jc w:val="center"/>
              <w:rPr>
                <w:lang w:val="en-AU" w:eastAsia="en-AU"/>
              </w:rPr>
            </w:pPr>
            <w:r>
              <w:rPr>
                <w:lang w:val="en-AU" w:eastAsia="en-AU"/>
              </w:rPr>
              <w:t xml:space="preserve">    </w:t>
            </w:r>
            <w:r w:rsidR="00DF58C6" w:rsidRPr="00DF58C6">
              <w:rPr>
                <w:lang w:val="en-AU" w:eastAsia="en-AU"/>
              </w:rPr>
              <w:t>*0.1</w:t>
            </w:r>
          </w:p>
        </w:tc>
      </w:tr>
    </w:tbl>
    <w:p w14:paraId="43F5D04D" w14:textId="77777777" w:rsidR="00DF58C6" w:rsidRPr="00DF58C6" w:rsidRDefault="00DF58C6" w:rsidP="00DF58C6">
      <w:pPr>
        <w:tabs>
          <w:tab w:val="left" w:pos="851"/>
        </w:tabs>
        <w:autoSpaceDE w:val="0"/>
        <w:autoSpaceDN w:val="0"/>
        <w:adjustRightInd w:val="0"/>
        <w:rPr>
          <w:b/>
          <w:color w:val="FF0000"/>
          <w:szCs w:val="20"/>
          <w:lang w:bidi="ar-SA"/>
        </w:rPr>
      </w:pPr>
    </w:p>
    <w:p w14:paraId="4844FD54" w14:textId="77777777" w:rsidR="00DF58C6" w:rsidRPr="00DF58C6" w:rsidRDefault="00DF58C6" w:rsidP="00C5183F">
      <w:pPr>
        <w:pStyle w:val="FSCDraftingitemheading"/>
        <w:rPr>
          <w:b w:val="0"/>
        </w:rPr>
      </w:pPr>
      <w:r w:rsidRPr="00DF58C6">
        <w:rPr>
          <w:shd w:val="clear" w:color="auto" w:fill="FFFFFF"/>
        </w:rPr>
        <w:t>[57]</w:t>
      </w:r>
      <w:r w:rsidRPr="00DF58C6">
        <w:rPr>
          <w:shd w:val="clear" w:color="auto" w:fill="FFFFFF"/>
        </w:rPr>
        <w:tab/>
      </w:r>
      <w:r w:rsidRPr="00DF58C6">
        <w:t xml:space="preserve">Section S20—3 (table entry for </w:t>
      </w:r>
      <w:proofErr w:type="spellStart"/>
      <w:r w:rsidRPr="00DF58C6">
        <w:t>Agvet</w:t>
      </w:r>
      <w:proofErr w:type="spellEnd"/>
      <w:r w:rsidRPr="00DF58C6">
        <w:t xml:space="preserve"> chemical: Triticonazole)</w:t>
      </w:r>
      <w:r w:rsidRPr="00DF58C6">
        <w:tab/>
      </w:r>
    </w:p>
    <w:p w14:paraId="19B753D0" w14:textId="77777777" w:rsidR="00DF58C6" w:rsidRPr="00DF58C6" w:rsidRDefault="00DF58C6" w:rsidP="00D7317F">
      <w:pPr>
        <w:pStyle w:val="FSCDraftingitem"/>
      </w:pPr>
      <w:r w:rsidRPr="00DF58C6">
        <w:tab/>
      </w:r>
      <w:r w:rsidRPr="00D7317F">
        <w:t>Omit</w:t>
      </w:r>
      <w:r w:rsidRPr="00DF58C6">
        <w:t>:</w:t>
      </w:r>
    </w:p>
    <w:p w14:paraId="2917134D" w14:textId="77777777" w:rsidR="00DF58C6" w:rsidRPr="00DF58C6" w:rsidRDefault="00DF58C6" w:rsidP="00DB36C4">
      <w:pPr>
        <w:pStyle w:val="FSCtblMRL1"/>
      </w:pPr>
      <w:r w:rsidRPr="00DB36C4">
        <w:t>Cereal</w:t>
      </w:r>
      <w:r w:rsidRPr="00DF58C6">
        <w:t xml:space="preserve"> grains (except sweet corns)</w:t>
      </w:r>
    </w:p>
    <w:p w14:paraId="754C4869" w14:textId="77777777" w:rsidR="00DF58C6" w:rsidRPr="00DF58C6" w:rsidRDefault="00DF58C6" w:rsidP="00D7317F">
      <w:pPr>
        <w:pStyle w:val="FSCDraftingitem"/>
      </w:pPr>
      <w:r w:rsidRPr="00DF58C6">
        <w:tab/>
      </w:r>
      <w:r w:rsidRPr="00D7317F">
        <w:t>substitute</w:t>
      </w:r>
      <w:r w:rsidRPr="00DF58C6">
        <w:t>:</w:t>
      </w:r>
    </w:p>
    <w:p w14:paraId="0A82E360" w14:textId="77777777" w:rsidR="00DF58C6" w:rsidRPr="00DF58C6" w:rsidRDefault="00DF58C6" w:rsidP="00DB36C4">
      <w:pPr>
        <w:pStyle w:val="FSCtblMRL1"/>
      </w:pPr>
      <w:r w:rsidRPr="00DB36C4">
        <w:t>Cereal</w:t>
      </w:r>
      <w:r w:rsidRPr="00DF58C6">
        <w:t xml:space="preserve"> grains [except sweet corns]</w:t>
      </w:r>
    </w:p>
    <w:p w14:paraId="5A599DD5" w14:textId="77777777" w:rsidR="00DF58C6" w:rsidRPr="00DF58C6" w:rsidRDefault="00DF58C6" w:rsidP="00DF58C6">
      <w:pPr>
        <w:keepLines/>
        <w:widowControl/>
        <w:spacing w:before="20" w:after="20"/>
        <w:rPr>
          <w:rFonts w:cs="Arial"/>
          <w:sz w:val="18"/>
          <w:szCs w:val="20"/>
          <w:lang w:eastAsia="en-AU"/>
        </w:rPr>
      </w:pPr>
    </w:p>
    <w:p w14:paraId="3B08EAEB" w14:textId="77777777" w:rsidR="00DF58C6" w:rsidRPr="00C5183F" w:rsidRDefault="00DF58C6" w:rsidP="00C5183F">
      <w:pPr>
        <w:pStyle w:val="FSCDraftingitemheading"/>
      </w:pPr>
      <w:r w:rsidRPr="00DF58C6">
        <w:t>Schedule 25 Permitted novel foods</w:t>
      </w:r>
    </w:p>
    <w:p w14:paraId="6028FA7B" w14:textId="77777777" w:rsidR="00DF58C6" w:rsidRPr="00DF58C6" w:rsidRDefault="00DF58C6" w:rsidP="00C5183F">
      <w:pPr>
        <w:pStyle w:val="FSCDraftingitemheading"/>
        <w:rPr>
          <w:b w:val="0"/>
        </w:rPr>
      </w:pPr>
      <w:r w:rsidRPr="00DF58C6">
        <w:t>[58]</w:t>
      </w:r>
      <w:r w:rsidRPr="00DF58C6">
        <w:tab/>
        <w:t>Section S25—2 (table entry for “Rapeseed protein isolate”)</w:t>
      </w:r>
    </w:p>
    <w:p w14:paraId="77BB3263" w14:textId="6388F91F" w:rsidR="00670237" w:rsidRDefault="00DF58C6" w:rsidP="00044015">
      <w:pPr>
        <w:pStyle w:val="FSCDraftingitem"/>
      </w:pPr>
      <w:r w:rsidRPr="00DF58C6">
        <w:tab/>
      </w:r>
      <w:r w:rsidRPr="00D7317F">
        <w:t>Omit</w:t>
      </w:r>
      <w:r w:rsidRPr="00DF58C6">
        <w:t xml:space="preserve"> “section S3—40”, substitute “section S3—39</w:t>
      </w:r>
      <w:r w:rsidR="00463FAA">
        <w:t>(</w:t>
      </w:r>
      <w:r w:rsidRPr="00DF58C6">
        <w:t>A</w:t>
      </w:r>
      <w:r w:rsidR="00F56F89">
        <w:t>)</w:t>
      </w:r>
      <w:r w:rsidRPr="00DF58C6">
        <w:t>”</w:t>
      </w:r>
    </w:p>
    <w:p w14:paraId="18CA0F87" w14:textId="1AC26BC9" w:rsidR="00670237" w:rsidRDefault="00670237" w:rsidP="00044015">
      <w:pPr>
        <w:pStyle w:val="FSCDraftingitem"/>
      </w:pPr>
    </w:p>
    <w:p w14:paraId="2FADCB46" w14:textId="395BFA52" w:rsidR="00670237" w:rsidRDefault="00670237">
      <w:pPr>
        <w:widowControl/>
        <w:rPr>
          <w:sz w:val="20"/>
          <w:szCs w:val="20"/>
          <w:lang w:bidi="ar-SA"/>
        </w:rPr>
      </w:pPr>
      <w:r>
        <w:br w:type="page"/>
      </w:r>
    </w:p>
    <w:p w14:paraId="18636D35" w14:textId="28DEFB81" w:rsidR="00456BD5" w:rsidRDefault="005E06C0" w:rsidP="00670237">
      <w:pPr>
        <w:pStyle w:val="Heading2"/>
      </w:pPr>
      <w:bookmarkStart w:id="129" w:name="_Toc134451286"/>
      <w:r w:rsidRPr="003C3BEE">
        <w:lastRenderedPageBreak/>
        <w:t>Attachment B</w:t>
      </w:r>
      <w:r w:rsidR="00FA7B04">
        <w:t xml:space="preserve"> </w:t>
      </w:r>
      <w:r w:rsidR="00214924">
        <w:t xml:space="preserve">– </w:t>
      </w:r>
      <w:r w:rsidR="00667F81">
        <w:t>Explanatory Statement</w:t>
      </w:r>
      <w:bookmarkEnd w:id="129"/>
    </w:p>
    <w:p w14:paraId="396157CE" w14:textId="77777777" w:rsidR="00C56CF1" w:rsidRDefault="00C56CF1" w:rsidP="00C56CF1">
      <w:pPr>
        <w:pStyle w:val="paragraph"/>
        <w:spacing w:before="0" w:beforeAutospacing="0" w:after="0" w:afterAutospacing="0"/>
        <w:jc w:val="center"/>
        <w:textAlignment w:val="baseline"/>
        <w:rPr>
          <w:rFonts w:ascii="Segoe UI" w:hAnsi="Segoe UI" w:cs="Segoe UI"/>
          <w:sz w:val="18"/>
          <w:szCs w:val="18"/>
        </w:rPr>
      </w:pPr>
      <w:r>
        <w:rPr>
          <w:rStyle w:val="normaltextrun"/>
          <w:rFonts w:cs="Arial"/>
          <w:b/>
          <w:bCs/>
          <w:caps/>
          <w:u w:val="single"/>
          <w:lang w:val="en-GB"/>
        </w:rPr>
        <w:t>EXPLANATORY STATEMENT</w:t>
      </w:r>
      <w:r>
        <w:rPr>
          <w:rStyle w:val="eop"/>
          <w:rFonts w:cs="Arial"/>
        </w:rPr>
        <w:t> </w:t>
      </w:r>
    </w:p>
    <w:p w14:paraId="66725399" w14:textId="77777777" w:rsidR="00C56CF1" w:rsidRDefault="00C56CF1" w:rsidP="00C56CF1">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AFE05A6" w14:textId="77777777" w:rsidR="00C56CF1" w:rsidRPr="00C56CF1" w:rsidRDefault="00C56CF1" w:rsidP="00C56CF1">
      <w:pPr>
        <w:pStyle w:val="paragraph"/>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r w:rsidRPr="00C56CF1">
        <w:rPr>
          <w:rStyle w:val="eop"/>
          <w:rFonts w:ascii="Arial" w:hAnsi="Arial" w:cs="Arial"/>
          <w:color w:val="000000"/>
        </w:rPr>
        <w:t> </w:t>
      </w:r>
    </w:p>
    <w:p w14:paraId="0E2B8ED2" w14:textId="77777777" w:rsidR="00C56CF1" w:rsidRPr="00C56CF1" w:rsidRDefault="00C56CF1" w:rsidP="00C56CF1">
      <w:pPr>
        <w:rPr>
          <w:lang w:bidi="ar-SA"/>
        </w:rPr>
      </w:pPr>
    </w:p>
    <w:p w14:paraId="3812B5C7" w14:textId="11300061" w:rsidR="00C56CF1" w:rsidRPr="00C56CF1" w:rsidRDefault="00C56CF1" w:rsidP="00C56CF1">
      <w:pPr>
        <w:pStyle w:val="paragraph"/>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b/>
          <w:bCs/>
          <w:i/>
          <w:iCs/>
          <w:lang w:val="en-GB"/>
        </w:rPr>
        <w:t xml:space="preserve">Food </w:t>
      </w:r>
      <w:r w:rsidRPr="000B7A09">
        <w:rPr>
          <w:rStyle w:val="normaltextrun"/>
          <w:rFonts w:ascii="Arial" w:hAnsi="Arial" w:cs="Arial"/>
          <w:b/>
          <w:bCs/>
          <w:i/>
          <w:iCs/>
          <w:lang w:val="en-GB"/>
        </w:rPr>
        <w:t>Standards (Proposal P</w:t>
      </w:r>
      <w:r w:rsidR="000B7A09" w:rsidRPr="000B7A09">
        <w:rPr>
          <w:rStyle w:val="normaltextrun"/>
          <w:rFonts w:ascii="Arial" w:hAnsi="Arial" w:cs="Arial"/>
          <w:b/>
          <w:bCs/>
          <w:i/>
          <w:iCs/>
          <w:lang w:val="en-GB"/>
        </w:rPr>
        <w:t xml:space="preserve">1061 </w:t>
      </w:r>
      <w:r w:rsidRPr="000B7A09">
        <w:rPr>
          <w:rStyle w:val="normaltextrun"/>
          <w:rFonts w:ascii="Arial" w:hAnsi="Arial" w:cs="Arial"/>
          <w:b/>
          <w:bCs/>
          <w:i/>
          <w:iCs/>
          <w:lang w:val="en-GB"/>
        </w:rPr>
        <w:t xml:space="preserve">– </w:t>
      </w:r>
      <w:r w:rsidR="000B7A09" w:rsidRPr="000B7A09">
        <w:rPr>
          <w:rStyle w:val="normaltextrun"/>
          <w:rFonts w:ascii="Arial" w:hAnsi="Arial" w:cs="Arial"/>
          <w:b/>
          <w:bCs/>
          <w:i/>
          <w:iCs/>
          <w:lang w:val="en-GB"/>
        </w:rPr>
        <w:t>Code Revision (2023)</w:t>
      </w:r>
      <w:r w:rsidRPr="000B7A09">
        <w:rPr>
          <w:rStyle w:val="normaltextrun"/>
          <w:rFonts w:ascii="Arial" w:hAnsi="Arial" w:cs="Arial"/>
          <w:b/>
          <w:bCs/>
          <w:i/>
          <w:iCs/>
          <w:lang w:val="en-GB"/>
        </w:rPr>
        <w:t>) Variation</w:t>
      </w:r>
      <w:r w:rsidRPr="000B7A09">
        <w:rPr>
          <w:rStyle w:val="normaltextrun"/>
          <w:rFonts w:ascii="Arial" w:hAnsi="Arial" w:cs="Arial"/>
          <w:b/>
          <w:bCs/>
          <w:i/>
          <w:iCs/>
          <w:sz w:val="20"/>
          <w:szCs w:val="20"/>
          <w:lang w:val="en-GB"/>
        </w:rPr>
        <w:t xml:space="preserve"> </w:t>
      </w:r>
      <w:r w:rsidRPr="000B7A09">
        <w:rPr>
          <w:rStyle w:val="eop"/>
          <w:rFonts w:ascii="Arial" w:hAnsi="Arial" w:cs="Arial"/>
          <w:sz w:val="20"/>
          <w:szCs w:val="20"/>
        </w:rPr>
        <w:t> </w:t>
      </w:r>
    </w:p>
    <w:p w14:paraId="40D46291" w14:textId="77777777" w:rsidR="00C56CF1" w:rsidRPr="00C56CF1" w:rsidRDefault="00C56CF1" w:rsidP="00C56CF1">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ED63542"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6AC603FC" w14:textId="77777777" w:rsidR="00456BD5" w:rsidRDefault="00456BD5" w:rsidP="00456BD5">
      <w:pPr>
        <w:rPr>
          <w:lang w:val="en-AU" w:eastAsia="en-GB" w:bidi="ar-SA"/>
        </w:rPr>
      </w:pPr>
    </w:p>
    <w:p w14:paraId="4993C0AD"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4537681" w14:textId="77777777" w:rsidR="00456BD5" w:rsidRPr="00D13E34" w:rsidRDefault="00456BD5" w:rsidP="00456BD5">
      <w:pPr>
        <w:widowControl/>
        <w:autoSpaceDE w:val="0"/>
        <w:autoSpaceDN w:val="0"/>
        <w:adjustRightInd w:val="0"/>
        <w:rPr>
          <w:rFonts w:eastAsia="Calibri" w:cs="Arial"/>
          <w:bCs/>
          <w:szCs w:val="22"/>
          <w:lang w:val="en-AU" w:bidi="ar-SA"/>
        </w:rPr>
      </w:pPr>
    </w:p>
    <w:p w14:paraId="15580E13" w14:textId="77777777" w:rsidR="00456BD5" w:rsidRPr="00B9219F" w:rsidRDefault="00456BD5" w:rsidP="00456BD5">
      <w:pPr>
        <w:widowControl/>
        <w:autoSpaceDE w:val="0"/>
        <w:autoSpaceDN w:val="0"/>
        <w:adjustRightInd w:val="0"/>
        <w:rPr>
          <w:rFonts w:eastAsia="Calibri" w:cs="Arial"/>
          <w:bCs/>
          <w:szCs w:val="22"/>
          <w:lang w:val="en-AU" w:bidi="ar-SA"/>
        </w:rPr>
      </w:pPr>
      <w:r w:rsidRPr="00B9219F">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6E20A273" w14:textId="77777777" w:rsidR="00456BD5" w:rsidRPr="00B9219F" w:rsidRDefault="00456BD5" w:rsidP="00456BD5">
      <w:pPr>
        <w:widowControl/>
        <w:autoSpaceDE w:val="0"/>
        <w:autoSpaceDN w:val="0"/>
        <w:adjustRightInd w:val="0"/>
        <w:rPr>
          <w:rFonts w:eastAsia="Calibri" w:cs="Arial"/>
          <w:bCs/>
          <w:szCs w:val="22"/>
          <w:lang w:val="en-AU" w:bidi="ar-SA"/>
        </w:rPr>
      </w:pPr>
    </w:p>
    <w:p w14:paraId="5EFB11FF" w14:textId="743E41B9" w:rsidR="00456BD5" w:rsidRDefault="00456BD5" w:rsidP="00456BD5">
      <w:pPr>
        <w:widowControl/>
        <w:autoSpaceDE w:val="0"/>
        <w:autoSpaceDN w:val="0"/>
        <w:adjustRightInd w:val="0"/>
        <w:rPr>
          <w:rFonts w:eastAsia="Calibri" w:cs="Arial"/>
          <w:bCs/>
          <w:szCs w:val="22"/>
          <w:lang w:val="en-AU" w:bidi="ar-SA"/>
        </w:rPr>
      </w:pPr>
      <w:r w:rsidRPr="00B9219F">
        <w:rPr>
          <w:rFonts w:eastAsia="Calibri" w:cs="Arial"/>
          <w:bCs/>
          <w:szCs w:val="22"/>
          <w:lang w:val="en-AU" w:bidi="ar-SA"/>
        </w:rPr>
        <w:t xml:space="preserve">The Authority </w:t>
      </w:r>
      <w:r w:rsidR="005A77F9" w:rsidRPr="005A77F9">
        <w:rPr>
          <w:rFonts w:eastAsia="Calibri" w:cs="Arial"/>
          <w:bCs/>
          <w:szCs w:val="22"/>
          <w:lang w:val="en-AU" w:bidi="ar-SA"/>
        </w:rPr>
        <w:t xml:space="preserve">prepared Proposal P1061 to make relatively minor amendments to the Code. The Authority considered the Proposal in accordance with Division 2 of Part 3 and prepared a draft variation – the </w:t>
      </w:r>
      <w:r w:rsidR="005A77F9" w:rsidRPr="005A77F9">
        <w:rPr>
          <w:rFonts w:eastAsia="Calibri" w:cs="Arial"/>
          <w:bCs/>
          <w:i/>
          <w:iCs/>
          <w:szCs w:val="22"/>
          <w:lang w:val="en-AU" w:bidi="ar-SA"/>
        </w:rPr>
        <w:t>Food Standards (Proposal P1061 – Code Revision (2023)) Variation</w:t>
      </w:r>
      <w:r w:rsidR="005A77F9" w:rsidRPr="005A77F9">
        <w:rPr>
          <w:rFonts w:eastAsia="Calibri" w:cs="Arial"/>
          <w:bCs/>
          <w:szCs w:val="22"/>
          <w:lang w:val="en-AU" w:bidi="ar-SA"/>
        </w:rPr>
        <w:t>.</w:t>
      </w:r>
      <w:r w:rsidR="005A77F9">
        <w:rPr>
          <w:rFonts w:eastAsia="Calibri" w:cs="Arial"/>
          <w:bCs/>
          <w:szCs w:val="22"/>
          <w:lang w:val="en-AU" w:bidi="ar-SA"/>
        </w:rPr>
        <w:t xml:space="preserve"> </w:t>
      </w:r>
      <w:r w:rsidR="00BF5B09">
        <w:rPr>
          <w:rFonts w:eastAsia="Calibri" w:cs="Arial"/>
          <w:bCs/>
          <w:szCs w:val="22"/>
          <w:lang w:val="en-AU" w:bidi="ar-SA"/>
        </w:rPr>
        <w:t xml:space="preserve">The Authority has approved </w:t>
      </w:r>
      <w:r w:rsidR="005A77F9">
        <w:rPr>
          <w:rFonts w:eastAsia="Calibri" w:cs="Arial"/>
          <w:bCs/>
          <w:szCs w:val="22"/>
          <w:lang w:val="en-AU" w:bidi="ar-SA"/>
        </w:rPr>
        <w:t xml:space="preserve">the </w:t>
      </w:r>
      <w:r w:rsidRPr="00B9219F">
        <w:rPr>
          <w:rFonts w:eastAsia="Calibri" w:cs="Arial"/>
          <w:bCs/>
          <w:szCs w:val="22"/>
          <w:lang w:val="en-AU" w:bidi="ar-SA"/>
        </w:rPr>
        <w:t xml:space="preserve">draft </w:t>
      </w:r>
      <w:r w:rsidR="005A77F9">
        <w:rPr>
          <w:rFonts w:eastAsia="Calibri" w:cs="Arial"/>
          <w:bCs/>
          <w:szCs w:val="22"/>
          <w:lang w:val="en-AU" w:bidi="ar-SA"/>
        </w:rPr>
        <w:t>v</w:t>
      </w:r>
      <w:r w:rsidR="00363776" w:rsidRPr="00B9219F">
        <w:rPr>
          <w:rFonts w:eastAsia="Calibri" w:cs="Arial"/>
          <w:bCs/>
          <w:szCs w:val="22"/>
          <w:lang w:val="en-AU" w:bidi="ar-SA"/>
        </w:rPr>
        <w:t>ariation</w:t>
      </w:r>
      <w:r w:rsidR="00743BC4">
        <w:rPr>
          <w:rFonts w:eastAsia="Calibri" w:cs="Arial"/>
          <w:bCs/>
          <w:szCs w:val="22"/>
          <w:lang w:val="en-AU" w:bidi="ar-SA"/>
        </w:rPr>
        <w:t>.</w:t>
      </w:r>
      <w:r w:rsidR="00583A63">
        <w:rPr>
          <w:rFonts w:eastAsia="Calibri" w:cs="Arial"/>
          <w:bCs/>
          <w:szCs w:val="22"/>
          <w:lang w:val="en-AU" w:bidi="ar-SA"/>
        </w:rPr>
        <w:t xml:space="preserve"> </w:t>
      </w:r>
    </w:p>
    <w:p w14:paraId="136C5597" w14:textId="77777777" w:rsidR="00BF5B09" w:rsidRPr="00D13E34" w:rsidRDefault="00BF5B09" w:rsidP="00456BD5">
      <w:pPr>
        <w:widowControl/>
        <w:autoSpaceDE w:val="0"/>
        <w:autoSpaceDN w:val="0"/>
        <w:adjustRightInd w:val="0"/>
        <w:rPr>
          <w:rFonts w:eastAsia="Calibri" w:cs="Arial"/>
          <w:bCs/>
          <w:szCs w:val="22"/>
          <w:lang w:val="en-AU" w:bidi="ar-SA"/>
        </w:rPr>
      </w:pPr>
    </w:p>
    <w:p w14:paraId="60EE5FA4" w14:textId="0A9986A9"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167F09">
        <w:rPr>
          <w:rFonts w:cs="Helvetica"/>
          <w:lang w:val="en-AU"/>
        </w:rPr>
        <w:t>Food Ministers’ Meeting</w:t>
      </w:r>
      <w:r w:rsidR="00297DA1">
        <w:rPr>
          <w:rFonts w:cs="Helvetica"/>
          <w:lang w:val="en-AU"/>
        </w:rPr>
        <w:t xml:space="preserve">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3D80805" w14:textId="77777777" w:rsidR="00456BD5" w:rsidRPr="00D13E34" w:rsidRDefault="00456BD5" w:rsidP="00456BD5">
      <w:pPr>
        <w:widowControl/>
        <w:autoSpaceDE w:val="0"/>
        <w:autoSpaceDN w:val="0"/>
        <w:adjustRightInd w:val="0"/>
        <w:rPr>
          <w:rFonts w:eastAsia="Calibri" w:cs="Arial"/>
          <w:bCs/>
          <w:szCs w:val="22"/>
          <w:lang w:val="en-AU" w:bidi="ar-SA"/>
        </w:rPr>
      </w:pPr>
    </w:p>
    <w:p w14:paraId="48503590" w14:textId="77777777" w:rsidR="00941150" w:rsidRDefault="00456BD5" w:rsidP="00456BD5">
      <w:pPr>
        <w:rPr>
          <w:b/>
          <w:lang w:val="en-AU" w:eastAsia="en-GB" w:bidi="ar-SA"/>
        </w:rPr>
      </w:pPr>
      <w:r>
        <w:rPr>
          <w:b/>
          <w:lang w:val="en-AU" w:eastAsia="en-GB" w:bidi="ar-SA"/>
        </w:rPr>
        <w:t>2.</w:t>
      </w:r>
      <w:r>
        <w:rPr>
          <w:b/>
          <w:lang w:val="en-AU" w:eastAsia="en-GB" w:bidi="ar-SA"/>
        </w:rPr>
        <w:tab/>
      </w:r>
      <w:r w:rsidR="00941150">
        <w:rPr>
          <w:b/>
          <w:lang w:val="en-AU" w:eastAsia="en-GB" w:bidi="ar-SA"/>
        </w:rPr>
        <w:t>Variation is a legislative instrument</w:t>
      </w:r>
    </w:p>
    <w:p w14:paraId="4823BB4A" w14:textId="77777777" w:rsidR="00941150" w:rsidRDefault="00941150" w:rsidP="00456BD5">
      <w:pPr>
        <w:rPr>
          <w:b/>
          <w:lang w:val="en-AU" w:eastAsia="en-GB" w:bidi="ar-SA"/>
        </w:rPr>
      </w:pPr>
    </w:p>
    <w:p w14:paraId="1DD4E7E4" w14:textId="77777777" w:rsidR="00941150" w:rsidRPr="00D00473" w:rsidRDefault="00941150" w:rsidP="00941150">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25" w:history="1">
        <w:r w:rsidRPr="00D00473">
          <w:rPr>
            <w:rFonts w:cs="Arial"/>
            <w:color w:val="3333FF"/>
            <w:u w:val="single"/>
          </w:rPr>
          <w:t>www.legislation.gov.au</w:t>
        </w:r>
      </w:hyperlink>
      <w:r w:rsidRPr="00D00473">
        <w:rPr>
          <w:rFonts w:cs="Arial"/>
        </w:rPr>
        <w:t>).</w:t>
      </w:r>
    </w:p>
    <w:p w14:paraId="0BD0DFC9" w14:textId="77777777" w:rsidR="00941150" w:rsidRPr="00D00473" w:rsidRDefault="00941150" w:rsidP="00941150">
      <w:pPr>
        <w:rPr>
          <w:rFonts w:cs="Arial"/>
        </w:rPr>
      </w:pPr>
    </w:p>
    <w:p w14:paraId="6725E035" w14:textId="77777777" w:rsidR="00941150" w:rsidRPr="00FB45C7" w:rsidRDefault="00941150" w:rsidP="0094115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33174851" w14:textId="77777777" w:rsidR="00941150" w:rsidRPr="00FB45C7" w:rsidRDefault="00941150" w:rsidP="00941150">
      <w:pPr>
        <w:rPr>
          <w:rFonts w:cs="Arial"/>
          <w:color w:val="0000CC"/>
        </w:rPr>
      </w:pPr>
    </w:p>
    <w:p w14:paraId="1F3E16F5" w14:textId="38040093" w:rsidR="00941150" w:rsidRDefault="00941150" w:rsidP="00941150">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w:t>
      </w:r>
      <w:r w:rsidRPr="00FB45C7">
        <w:rPr>
          <w:rFonts w:cs="Arial"/>
        </w:rPr>
        <w:lastRenderedPageBreak/>
        <w:t xml:space="preserve">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C036C14" w14:textId="77777777" w:rsidR="00941150" w:rsidRDefault="00941150" w:rsidP="00456BD5">
      <w:pPr>
        <w:rPr>
          <w:b/>
          <w:lang w:val="en-AU" w:eastAsia="en-GB" w:bidi="ar-SA"/>
        </w:rPr>
      </w:pPr>
    </w:p>
    <w:p w14:paraId="1A560227" w14:textId="77777777" w:rsidR="00456BD5" w:rsidRDefault="00941150" w:rsidP="00456BD5">
      <w:pPr>
        <w:rPr>
          <w:b/>
          <w:lang w:val="en-AU" w:eastAsia="en-GB" w:bidi="ar-SA"/>
        </w:rPr>
      </w:pPr>
      <w:r>
        <w:rPr>
          <w:b/>
          <w:lang w:val="en-AU" w:eastAsia="en-GB" w:bidi="ar-SA"/>
        </w:rPr>
        <w:t>3.</w:t>
      </w:r>
      <w:r>
        <w:rPr>
          <w:b/>
          <w:lang w:val="en-AU" w:eastAsia="en-GB" w:bidi="ar-SA"/>
        </w:rPr>
        <w:tab/>
      </w:r>
      <w:r w:rsidR="00456BD5">
        <w:rPr>
          <w:b/>
          <w:lang w:val="en-AU" w:eastAsia="en-GB" w:bidi="ar-SA"/>
        </w:rPr>
        <w:t xml:space="preserve">Purpose </w:t>
      </w:r>
    </w:p>
    <w:p w14:paraId="709D3F32" w14:textId="77777777" w:rsidR="00456BD5" w:rsidRDefault="00456BD5" w:rsidP="00456BD5">
      <w:pPr>
        <w:rPr>
          <w:lang w:val="en-AU" w:eastAsia="en-GB" w:bidi="ar-SA"/>
        </w:rPr>
      </w:pPr>
    </w:p>
    <w:p w14:paraId="1B3AECAF" w14:textId="7C2242D8" w:rsidR="0067022F" w:rsidRDefault="0035665F" w:rsidP="00456BD5">
      <w:pPr>
        <w:rPr>
          <w:lang w:val="en-AU" w:eastAsia="en-GB" w:bidi="ar-SA"/>
        </w:rPr>
      </w:pPr>
      <w:r w:rsidRPr="0035665F">
        <w:rPr>
          <w:lang w:val="en-AU" w:eastAsia="en-GB" w:bidi="ar-SA"/>
        </w:rPr>
        <w:t xml:space="preserve">The Authority has </w:t>
      </w:r>
      <w:r>
        <w:rPr>
          <w:lang w:val="en-AU" w:eastAsia="en-GB" w:bidi="ar-SA"/>
        </w:rPr>
        <w:t>approved</w:t>
      </w:r>
      <w:r w:rsidRPr="0035665F">
        <w:rPr>
          <w:lang w:val="en-AU" w:eastAsia="en-GB" w:bidi="ar-SA"/>
        </w:rPr>
        <w:t xml:space="preserve"> a draft variation amending various provisions in the Code to correct typographical errors, omissions, inconsistencies and formatting issues; update references; and to change editorial Notes </w:t>
      </w:r>
      <w:r w:rsidR="00DE35DC" w:rsidRPr="002169FF">
        <w:rPr>
          <w:rFonts w:cs="Arial"/>
          <w:szCs w:val="22"/>
        </w:rPr>
        <w:t>to reflect the New Zealand Government’s decision to adopt in New Zealand the Code's provisions relating to folic acid fortification. These require the addition of folic acid to wheat flour sold as suitable for making bread to which section 2.1.1—5</w:t>
      </w:r>
      <w:r w:rsidR="00DE35DC" w:rsidRPr="002169FF">
        <w:rPr>
          <w:rFonts w:cs="Arial"/>
          <w:color w:val="0D4A88"/>
          <w:szCs w:val="22"/>
        </w:rPr>
        <w:t> </w:t>
      </w:r>
      <w:r w:rsidR="00DE35DC" w:rsidRPr="002169FF">
        <w:rPr>
          <w:rFonts w:cs="Arial"/>
          <w:szCs w:val="22"/>
        </w:rPr>
        <w:t>of the Code applies</w:t>
      </w:r>
      <w:r w:rsidRPr="00014F43">
        <w:rPr>
          <w:lang w:val="en-AU" w:eastAsia="en-GB" w:bidi="ar-SA"/>
        </w:rPr>
        <w:t>.</w:t>
      </w:r>
      <w:r w:rsidRPr="00DE35DC">
        <w:rPr>
          <w:lang w:val="en-AU" w:eastAsia="en-GB" w:bidi="ar-SA"/>
        </w:rPr>
        <w:t xml:space="preserve"> </w:t>
      </w:r>
      <w:r w:rsidR="007D1F46" w:rsidRPr="007D1F46">
        <w:rPr>
          <w:rFonts w:cs="Arial"/>
          <w:szCs w:val="22"/>
        </w:rPr>
        <w:t>Section 2.1.1—4 of the Code provides that section 2.1.1—5 does not apply to certain foods, including bread that is represented as organic.</w:t>
      </w:r>
    </w:p>
    <w:p w14:paraId="10691B9F" w14:textId="77777777" w:rsidR="0067022F" w:rsidRDefault="0067022F" w:rsidP="00456BD5">
      <w:pPr>
        <w:rPr>
          <w:lang w:val="en-AU" w:eastAsia="en-GB" w:bidi="ar-SA"/>
        </w:rPr>
      </w:pPr>
    </w:p>
    <w:p w14:paraId="012E79D5" w14:textId="4C2707F5" w:rsidR="00456BD5" w:rsidRDefault="0035665F" w:rsidP="00456BD5">
      <w:pPr>
        <w:rPr>
          <w:lang w:val="en-AU" w:eastAsia="en-GB" w:bidi="ar-SA"/>
        </w:rPr>
      </w:pPr>
      <w:r w:rsidRPr="00DE35DC">
        <w:rPr>
          <w:lang w:val="en-AU" w:eastAsia="en-GB" w:bidi="ar-SA"/>
        </w:rPr>
        <w:t>The</w:t>
      </w:r>
      <w:r w:rsidRPr="0035665F">
        <w:rPr>
          <w:lang w:val="en-AU" w:eastAsia="en-GB" w:bidi="ar-SA"/>
        </w:rPr>
        <w:t xml:space="preserve"> </w:t>
      </w:r>
      <w:r w:rsidR="00A14F07">
        <w:rPr>
          <w:lang w:val="en-AU" w:eastAsia="en-GB" w:bidi="ar-SA"/>
        </w:rPr>
        <w:t>approved</w:t>
      </w:r>
      <w:r w:rsidRPr="0035665F">
        <w:rPr>
          <w:lang w:val="en-AU" w:eastAsia="en-GB" w:bidi="ar-SA"/>
        </w:rPr>
        <w:t xml:space="preserve"> amendments are relatively minor in nature.</w:t>
      </w:r>
    </w:p>
    <w:p w14:paraId="44F528A9" w14:textId="77777777" w:rsidR="0035665F" w:rsidRDefault="0035665F" w:rsidP="00456BD5">
      <w:pPr>
        <w:rPr>
          <w:lang w:val="en-AU" w:eastAsia="en-GB" w:bidi="ar-SA"/>
        </w:rPr>
      </w:pPr>
    </w:p>
    <w:p w14:paraId="6F048E62" w14:textId="77777777" w:rsidR="00456BD5" w:rsidRPr="000576EB" w:rsidRDefault="00941150" w:rsidP="00456BD5">
      <w:pPr>
        <w:rPr>
          <w:b/>
          <w:lang w:val="en-AU" w:eastAsia="en-GB" w:bidi="ar-SA"/>
        </w:rPr>
      </w:pPr>
      <w:r>
        <w:rPr>
          <w:b/>
          <w:lang w:val="en-AU" w:eastAsia="en-GB" w:bidi="ar-SA"/>
        </w:rPr>
        <w:t>4</w:t>
      </w:r>
      <w:r w:rsidR="00456BD5" w:rsidRPr="000576EB">
        <w:rPr>
          <w:b/>
          <w:lang w:val="en-AU" w:eastAsia="en-GB" w:bidi="ar-SA"/>
        </w:rPr>
        <w:t>.</w:t>
      </w:r>
      <w:r w:rsidR="00456BD5" w:rsidRPr="000576EB">
        <w:rPr>
          <w:b/>
          <w:lang w:val="en-AU" w:eastAsia="en-GB" w:bidi="ar-SA"/>
        </w:rPr>
        <w:tab/>
        <w:t>Documents incorporated by reference</w:t>
      </w:r>
    </w:p>
    <w:p w14:paraId="1CD733AD" w14:textId="5386A1EF" w:rsidR="00456BD5" w:rsidRDefault="00456BD5" w:rsidP="00456BD5">
      <w:pPr>
        <w:rPr>
          <w:lang w:val="en-AU" w:eastAsia="en-GB" w:bidi="ar-SA"/>
        </w:rPr>
      </w:pPr>
    </w:p>
    <w:p w14:paraId="7970552E" w14:textId="77777777" w:rsidR="00134395" w:rsidRPr="00134395" w:rsidRDefault="00134395" w:rsidP="00134395">
      <w:pPr>
        <w:widowControl/>
        <w:autoSpaceDE w:val="0"/>
        <w:autoSpaceDN w:val="0"/>
        <w:adjustRightInd w:val="0"/>
        <w:rPr>
          <w:rFonts w:cs="Arial"/>
        </w:rPr>
      </w:pPr>
      <w:r w:rsidRPr="00134395">
        <w:rPr>
          <w:rFonts w:eastAsia="Calibri" w:cs="Arial"/>
          <w:bCs/>
          <w:szCs w:val="22"/>
          <w:lang w:val="en-AU" w:bidi="ar-SA"/>
        </w:rPr>
        <w:t xml:space="preserve">Section 14 of the </w:t>
      </w:r>
      <w:r w:rsidRPr="00134395">
        <w:rPr>
          <w:rFonts w:cs="Arial"/>
          <w:i/>
          <w:iCs/>
        </w:rPr>
        <w:t xml:space="preserve">Legislation Act 2003 </w:t>
      </w:r>
      <w:r w:rsidRPr="00134395">
        <w:rPr>
          <w:rFonts w:cs="Arial"/>
        </w:rPr>
        <w:t>provides that a legislative instrument may:</w:t>
      </w:r>
    </w:p>
    <w:p w14:paraId="6580CA8F" w14:textId="77777777" w:rsidR="00134395" w:rsidRPr="00134395" w:rsidRDefault="00134395" w:rsidP="00134395">
      <w:pPr>
        <w:widowControl/>
        <w:autoSpaceDE w:val="0"/>
        <w:autoSpaceDN w:val="0"/>
        <w:adjustRightInd w:val="0"/>
        <w:rPr>
          <w:rFonts w:cs="Arial"/>
        </w:rPr>
      </w:pPr>
    </w:p>
    <w:p w14:paraId="18E7ABBD" w14:textId="77777777" w:rsidR="00134395" w:rsidRPr="00134395" w:rsidRDefault="00134395" w:rsidP="00134395">
      <w:pPr>
        <w:widowControl/>
        <w:numPr>
          <w:ilvl w:val="0"/>
          <w:numId w:val="7"/>
        </w:numPr>
        <w:autoSpaceDE w:val="0"/>
        <w:autoSpaceDN w:val="0"/>
        <w:adjustRightInd w:val="0"/>
        <w:contextualSpacing/>
        <w:rPr>
          <w:rFonts w:cs="Arial"/>
          <w:color w:val="222222"/>
          <w:szCs w:val="22"/>
        </w:rPr>
      </w:pPr>
      <w:r w:rsidRPr="00134395">
        <w:rPr>
          <w:rFonts w:cs="Arial"/>
          <w:color w:val="222222"/>
          <w:szCs w:val="22"/>
        </w:rPr>
        <w:t>apply, adopt or incorporate provisions of a Commonwealth disallowable legislative instrument, with or without modification, as in force at a particular time or as in force from time to time; and</w:t>
      </w:r>
    </w:p>
    <w:p w14:paraId="0AB438B2" w14:textId="77777777" w:rsidR="00134395" w:rsidRPr="00134395" w:rsidRDefault="00134395" w:rsidP="00134395">
      <w:pPr>
        <w:widowControl/>
        <w:numPr>
          <w:ilvl w:val="0"/>
          <w:numId w:val="7"/>
        </w:numPr>
        <w:autoSpaceDE w:val="0"/>
        <w:autoSpaceDN w:val="0"/>
        <w:adjustRightInd w:val="0"/>
        <w:contextualSpacing/>
        <w:rPr>
          <w:rFonts w:eastAsia="Calibri" w:cs="Arial"/>
          <w:bCs/>
          <w:szCs w:val="22"/>
          <w:lang w:val="en-AU" w:bidi="ar-SA"/>
        </w:rPr>
      </w:pPr>
      <w:r w:rsidRPr="00134395">
        <w:rPr>
          <w:rFonts w:cs="Arial"/>
        </w:rPr>
        <w:t>incorporate any other document in writing which exists at the time the legislative instrument commences or a time before its commencement</w:t>
      </w:r>
      <w:r w:rsidRPr="00134395">
        <w:rPr>
          <w:rFonts w:cs="Arial"/>
          <w:i/>
          <w:iCs/>
        </w:rPr>
        <w:t xml:space="preserve">.  </w:t>
      </w:r>
    </w:p>
    <w:p w14:paraId="3EEFBFA2" w14:textId="77777777" w:rsidR="00134395" w:rsidRPr="00134395" w:rsidRDefault="00134395" w:rsidP="00134395">
      <w:pPr>
        <w:widowControl/>
        <w:autoSpaceDE w:val="0"/>
        <w:autoSpaceDN w:val="0"/>
        <w:adjustRightInd w:val="0"/>
        <w:rPr>
          <w:rFonts w:eastAsia="Calibri" w:cs="Arial"/>
          <w:bCs/>
          <w:szCs w:val="22"/>
          <w:lang w:val="en-AU" w:bidi="ar-SA"/>
        </w:rPr>
      </w:pPr>
    </w:p>
    <w:p w14:paraId="0E9781D2" w14:textId="3D9F19F0" w:rsidR="00134395" w:rsidRPr="00134395" w:rsidRDefault="00134395" w:rsidP="00134395">
      <w:pPr>
        <w:widowControl/>
        <w:autoSpaceDE w:val="0"/>
        <w:autoSpaceDN w:val="0"/>
        <w:adjustRightInd w:val="0"/>
        <w:rPr>
          <w:rFonts w:eastAsia="Calibri" w:cs="Arial"/>
          <w:bCs/>
          <w:szCs w:val="22"/>
          <w:lang w:val="en-AU" w:bidi="ar-SA"/>
        </w:rPr>
      </w:pPr>
      <w:r w:rsidRPr="00134395">
        <w:rPr>
          <w:rFonts w:eastAsia="Calibri" w:cs="Arial"/>
          <w:bCs/>
          <w:szCs w:val="22"/>
          <w:lang w:val="en-AU" w:bidi="ar-SA"/>
        </w:rPr>
        <w:t>The Code currently contains provisions that incorporate other legislative instruments and other written documents by reference in accordance with the above section.</w:t>
      </w:r>
      <w:r w:rsidRPr="00134395">
        <w:rPr>
          <w:rFonts w:cs="Arial"/>
          <w:i/>
          <w:iCs/>
        </w:rPr>
        <w:t xml:space="preserve"> </w:t>
      </w:r>
      <w:r w:rsidRPr="00134395">
        <w:rPr>
          <w:rFonts w:eastAsia="Calibri" w:cs="Arial"/>
          <w:bCs/>
          <w:szCs w:val="22"/>
          <w:lang w:val="en-AU" w:bidi="ar-SA"/>
        </w:rPr>
        <w:t xml:space="preserve">The </w:t>
      </w:r>
      <w:r w:rsidR="00173F15">
        <w:rPr>
          <w:rFonts w:eastAsia="Calibri" w:cs="Arial"/>
          <w:bCs/>
          <w:szCs w:val="22"/>
          <w:lang w:val="en-AU" w:bidi="ar-SA"/>
        </w:rPr>
        <w:t xml:space="preserve">approved </w:t>
      </w:r>
      <w:r w:rsidRPr="00134395">
        <w:rPr>
          <w:rFonts w:eastAsia="Calibri" w:cs="Arial"/>
          <w:bCs/>
          <w:szCs w:val="22"/>
          <w:lang w:val="en-AU" w:bidi="ar-SA"/>
        </w:rPr>
        <w:t>draft variation amend</w:t>
      </w:r>
      <w:r w:rsidR="00173F15">
        <w:rPr>
          <w:rFonts w:eastAsia="Calibri" w:cs="Arial"/>
          <w:bCs/>
          <w:szCs w:val="22"/>
          <w:lang w:val="en-AU" w:bidi="ar-SA"/>
        </w:rPr>
        <w:t>s</w:t>
      </w:r>
      <w:r w:rsidRPr="00134395">
        <w:rPr>
          <w:rFonts w:eastAsia="Calibri" w:cs="Arial"/>
          <w:bCs/>
          <w:szCs w:val="22"/>
          <w:lang w:val="en-AU" w:bidi="ar-SA"/>
        </w:rPr>
        <w:t xml:space="preserve"> those provisions in the following standards of the Code to update certain references to an incorporated instrument or document. </w:t>
      </w:r>
      <w:r w:rsidRPr="00134395">
        <w:rPr>
          <w:rFonts w:eastAsia="Calibri" w:cs="Arial"/>
          <w:color w:val="000000"/>
          <w:szCs w:val="22"/>
          <w:lang w:bidi="ar-SA"/>
        </w:rPr>
        <w:t>This reference by incorporation is consistent with the current</w:t>
      </w:r>
      <w:r w:rsidRPr="00134395">
        <w:rPr>
          <w:rFonts w:eastAsia="Calibri" w:cs="Arial"/>
          <w:bCs/>
          <w:color w:val="000000"/>
          <w:szCs w:val="22"/>
          <w:lang w:bidi="ar-SA"/>
        </w:rPr>
        <w:t xml:space="preserve"> </w:t>
      </w:r>
      <w:r w:rsidRPr="00134395">
        <w:rPr>
          <w:rFonts w:eastAsia="Calibri" w:cs="Arial"/>
          <w:color w:val="000000"/>
          <w:szCs w:val="22"/>
          <w:lang w:bidi="ar-SA"/>
        </w:rPr>
        <w:t>practice in the Code</w:t>
      </w:r>
      <w:r w:rsidRPr="00134395">
        <w:rPr>
          <w:rFonts w:eastAsia="Calibri" w:cs="Arial"/>
          <w:bCs/>
          <w:color w:val="000000"/>
          <w:szCs w:val="22"/>
          <w:lang w:bidi="ar-SA"/>
        </w:rPr>
        <w:t>.</w:t>
      </w:r>
    </w:p>
    <w:p w14:paraId="0654FE19" w14:textId="77777777" w:rsidR="00934A9A" w:rsidRDefault="00934A9A" w:rsidP="00934A9A">
      <w:pPr>
        <w:widowControl/>
        <w:autoSpaceDE w:val="0"/>
        <w:autoSpaceDN w:val="0"/>
        <w:adjustRightInd w:val="0"/>
        <w:rPr>
          <w:rFonts w:eastAsia="Calibri" w:cs="Arial"/>
          <w:bCs/>
          <w:i/>
          <w:iCs/>
          <w:szCs w:val="22"/>
          <w:lang w:val="en-AU" w:bidi="ar-SA"/>
        </w:rPr>
      </w:pPr>
    </w:p>
    <w:p w14:paraId="51505061" w14:textId="065BAEFE" w:rsidR="00934A9A" w:rsidRPr="00934A9A" w:rsidRDefault="00934A9A" w:rsidP="00934A9A">
      <w:pPr>
        <w:widowControl/>
        <w:autoSpaceDE w:val="0"/>
        <w:autoSpaceDN w:val="0"/>
        <w:adjustRightInd w:val="0"/>
        <w:rPr>
          <w:rFonts w:eastAsia="Calibri" w:cs="Arial"/>
          <w:bCs/>
          <w:szCs w:val="22"/>
          <w:lang w:val="en-AU" w:bidi="ar-SA"/>
        </w:rPr>
      </w:pPr>
      <w:r w:rsidRPr="00934A9A">
        <w:rPr>
          <w:rFonts w:eastAsia="Calibri" w:cs="Arial"/>
          <w:bCs/>
          <w:i/>
          <w:iCs/>
          <w:szCs w:val="22"/>
          <w:lang w:val="en-AU" w:bidi="ar-SA"/>
        </w:rPr>
        <w:t>Standard 1.1.1</w:t>
      </w:r>
    </w:p>
    <w:p w14:paraId="11288836" w14:textId="77777777" w:rsidR="00934A9A" w:rsidRPr="00934A9A" w:rsidRDefault="00934A9A" w:rsidP="00934A9A">
      <w:pPr>
        <w:widowControl/>
        <w:autoSpaceDE w:val="0"/>
        <w:autoSpaceDN w:val="0"/>
        <w:adjustRightInd w:val="0"/>
        <w:rPr>
          <w:rFonts w:eastAsia="Calibri" w:cs="Arial"/>
          <w:bCs/>
          <w:szCs w:val="22"/>
          <w:lang w:val="en-AU" w:bidi="ar-SA"/>
        </w:rPr>
      </w:pPr>
    </w:p>
    <w:p w14:paraId="5AFE3377" w14:textId="766D5E4C" w:rsidR="00934A9A" w:rsidRPr="00934A9A" w:rsidRDefault="00934A9A" w:rsidP="00934A9A">
      <w:pPr>
        <w:widowControl/>
        <w:autoSpaceDE w:val="0"/>
        <w:autoSpaceDN w:val="0"/>
        <w:adjustRightInd w:val="0"/>
        <w:rPr>
          <w:rFonts w:cs="Arial"/>
          <w:color w:val="000000"/>
          <w:szCs w:val="22"/>
          <w:shd w:val="clear" w:color="auto" w:fill="FFFFFF"/>
        </w:rPr>
      </w:pPr>
      <w:r w:rsidRPr="00934A9A">
        <w:rPr>
          <w:rFonts w:eastAsia="Calibri" w:cs="Arial"/>
          <w:bCs/>
          <w:szCs w:val="22"/>
          <w:lang w:val="en-AU" w:bidi="ar-SA"/>
        </w:rPr>
        <w:t xml:space="preserve">A number of Code provisions currently refer to and incorporate by reference the United States Code of Federal Regulation (CFR). For this purpose, paragraph 1.1.1—5(1)(b) of the Code states that a </w:t>
      </w:r>
      <w:r w:rsidRPr="00934A9A">
        <w:rPr>
          <w:rFonts w:cs="Arial"/>
          <w:color w:val="000000"/>
          <w:szCs w:val="22"/>
          <w:shd w:val="clear" w:color="auto" w:fill="FFFFFF"/>
        </w:rPr>
        <w:t>reference in the Code to the Code of Federal Regulations, or CFR, is a reference to the 2019 compilation of the United States Code of Federal Regulations</w:t>
      </w:r>
      <w:r w:rsidRPr="00934A9A">
        <w:rPr>
          <w:rFonts w:eastAsia="Calibri" w:cs="Arial"/>
          <w:bCs/>
          <w:szCs w:val="22"/>
          <w:lang w:val="en-AU" w:bidi="ar-SA"/>
        </w:rPr>
        <w:t xml:space="preserve">. This provision is outdated. </w:t>
      </w:r>
      <w:r w:rsidRPr="00934A9A">
        <w:t>The latest compilation</w:t>
      </w:r>
      <w:r w:rsidRPr="00934A9A">
        <w:rPr>
          <w:rFonts w:eastAsia="Calibri" w:cs="Arial"/>
          <w:bCs/>
          <w:szCs w:val="22"/>
          <w:lang w:val="en-AU" w:bidi="ar-SA"/>
        </w:rPr>
        <w:t xml:space="preserve"> </w:t>
      </w:r>
      <w:r w:rsidRPr="00934A9A">
        <w:t xml:space="preserve">was published by the United States Government in 2022. The </w:t>
      </w:r>
      <w:r w:rsidR="00173F15">
        <w:t xml:space="preserve">approved </w:t>
      </w:r>
      <w:r w:rsidRPr="00934A9A">
        <w:t>draft variation amend</w:t>
      </w:r>
      <w:r w:rsidR="00173F15">
        <w:t>s</w:t>
      </w:r>
      <w:r w:rsidRPr="00934A9A">
        <w:t xml:space="preserve"> </w:t>
      </w:r>
      <w:r w:rsidRPr="00934A9A">
        <w:rPr>
          <w:rFonts w:eastAsia="Calibri" w:cs="Arial"/>
          <w:bCs/>
          <w:szCs w:val="22"/>
          <w:lang w:val="en-AU" w:bidi="ar-SA"/>
        </w:rPr>
        <w:t xml:space="preserve">paragraph 1.1.1—5(1)(b) to refer instead to the 2022 </w:t>
      </w:r>
      <w:r w:rsidRPr="00934A9A">
        <w:rPr>
          <w:rFonts w:cs="Arial"/>
          <w:color w:val="000000"/>
          <w:szCs w:val="22"/>
          <w:shd w:val="clear" w:color="auto" w:fill="FFFFFF"/>
        </w:rPr>
        <w:t>compilation.</w:t>
      </w:r>
    </w:p>
    <w:p w14:paraId="650950BE" w14:textId="77777777" w:rsidR="00934A9A" w:rsidRPr="00934A9A" w:rsidRDefault="00934A9A" w:rsidP="00934A9A">
      <w:pPr>
        <w:widowControl/>
        <w:autoSpaceDE w:val="0"/>
        <w:autoSpaceDN w:val="0"/>
        <w:adjustRightInd w:val="0"/>
        <w:rPr>
          <w:rFonts w:cs="Arial"/>
          <w:color w:val="000000"/>
          <w:szCs w:val="22"/>
          <w:shd w:val="clear" w:color="auto" w:fill="FFFFFF"/>
        </w:rPr>
      </w:pPr>
    </w:p>
    <w:p w14:paraId="316B742C" w14:textId="77777777" w:rsidR="00934A9A" w:rsidRPr="00934A9A" w:rsidRDefault="00934A9A" w:rsidP="00934A9A">
      <w:pPr>
        <w:widowControl/>
        <w:autoSpaceDE w:val="0"/>
        <w:autoSpaceDN w:val="0"/>
        <w:adjustRightInd w:val="0"/>
        <w:rPr>
          <w:rFonts w:eastAsia="Calibri" w:cs="Arial"/>
          <w:bCs/>
          <w:szCs w:val="22"/>
          <w:lang w:val="en-AU" w:bidi="ar-SA"/>
        </w:rPr>
      </w:pPr>
      <w:r w:rsidRPr="00934A9A">
        <w:rPr>
          <w:rFonts w:cs="Arial"/>
          <w:color w:val="000000"/>
          <w:szCs w:val="22"/>
          <w:shd w:val="clear" w:color="auto" w:fill="FFFFFF"/>
        </w:rPr>
        <w:t xml:space="preserve">A copy of the 2022 compilation of United States Code of Federal Regulations is freely and publicly available online at </w:t>
      </w:r>
      <w:hyperlink r:id="rId26" w:history="1">
        <w:r w:rsidRPr="00934A9A">
          <w:rPr>
            <w:rFonts w:cs="Arial"/>
            <w:color w:val="3333FF"/>
            <w:szCs w:val="22"/>
            <w:u w:val="single"/>
            <w:shd w:val="clear" w:color="auto" w:fill="FFFFFF"/>
          </w:rPr>
          <w:t>https://www.govinfo.gov/app/collection/cfr</w:t>
        </w:r>
      </w:hyperlink>
      <w:r w:rsidRPr="00934A9A">
        <w:rPr>
          <w:rFonts w:cs="Arial"/>
          <w:color w:val="000000"/>
          <w:szCs w:val="22"/>
          <w:shd w:val="clear" w:color="auto" w:fill="FFFFFF"/>
        </w:rPr>
        <w:t xml:space="preserve"> </w:t>
      </w:r>
    </w:p>
    <w:p w14:paraId="02548C16" w14:textId="77777777" w:rsidR="00934A9A" w:rsidRPr="00934A9A" w:rsidRDefault="00934A9A" w:rsidP="00934A9A">
      <w:pPr>
        <w:widowControl/>
        <w:autoSpaceDE w:val="0"/>
        <w:autoSpaceDN w:val="0"/>
        <w:adjustRightInd w:val="0"/>
        <w:rPr>
          <w:rFonts w:eastAsia="Calibri" w:cs="Arial"/>
          <w:bCs/>
          <w:szCs w:val="22"/>
          <w:lang w:val="en-AU" w:bidi="ar-SA"/>
        </w:rPr>
      </w:pPr>
    </w:p>
    <w:p w14:paraId="008EE224" w14:textId="77777777" w:rsidR="00934A9A" w:rsidRPr="00934A9A" w:rsidRDefault="00934A9A" w:rsidP="00934A9A">
      <w:pPr>
        <w:widowControl/>
        <w:autoSpaceDE w:val="0"/>
        <w:autoSpaceDN w:val="0"/>
        <w:adjustRightInd w:val="0"/>
        <w:rPr>
          <w:rFonts w:eastAsia="Calibri" w:cs="Arial"/>
          <w:bCs/>
          <w:szCs w:val="22"/>
          <w:lang w:val="en-AU" w:bidi="ar-SA"/>
        </w:rPr>
      </w:pPr>
      <w:r w:rsidRPr="00934A9A">
        <w:rPr>
          <w:rFonts w:eastAsia="Calibri" w:cs="Arial"/>
          <w:bCs/>
          <w:i/>
          <w:iCs/>
          <w:szCs w:val="22"/>
          <w:lang w:val="en-AU" w:bidi="ar-SA"/>
        </w:rPr>
        <w:t>Standard 1.1.2</w:t>
      </w:r>
    </w:p>
    <w:p w14:paraId="048630C3" w14:textId="77777777" w:rsidR="00934A9A" w:rsidRPr="00934A9A" w:rsidRDefault="00934A9A" w:rsidP="00934A9A">
      <w:pPr>
        <w:widowControl/>
        <w:autoSpaceDE w:val="0"/>
        <w:autoSpaceDN w:val="0"/>
        <w:adjustRightInd w:val="0"/>
        <w:rPr>
          <w:rFonts w:eastAsia="Calibri" w:cs="Arial"/>
          <w:bCs/>
          <w:szCs w:val="22"/>
          <w:lang w:val="en-AU" w:bidi="ar-SA"/>
        </w:rPr>
      </w:pPr>
    </w:p>
    <w:p w14:paraId="2B095D5C" w14:textId="77F20466" w:rsidR="00934A9A" w:rsidRPr="00934A9A" w:rsidRDefault="00934A9A" w:rsidP="00934A9A">
      <w:pPr>
        <w:widowControl/>
        <w:autoSpaceDE w:val="0"/>
        <w:autoSpaceDN w:val="0"/>
        <w:adjustRightInd w:val="0"/>
        <w:rPr>
          <w:rFonts w:cs="Arial"/>
          <w:color w:val="000000"/>
          <w:szCs w:val="22"/>
          <w:shd w:val="clear" w:color="auto" w:fill="FFFFFF"/>
        </w:rPr>
      </w:pPr>
      <w:r w:rsidRPr="00934A9A">
        <w:rPr>
          <w:rFonts w:eastAsia="Calibri" w:cs="Arial"/>
          <w:bCs/>
          <w:szCs w:val="22"/>
          <w:lang w:val="en-AU" w:bidi="ar-SA"/>
        </w:rPr>
        <w:t xml:space="preserve">The definition of ‘permitted flavouring substance’ in subsection 1.1.2—2(3) of the Code incorporates certain publications by reference. These include Edition 29 (2019) of the Generally Recognised as Safe (GRAS) lists of flavouring substances published by the Flavour and Extract Manufacturers’ Association of the United States (FEMA). This reference </w:t>
      </w:r>
      <w:r w:rsidRPr="00934A9A">
        <w:rPr>
          <w:rFonts w:eastAsia="Calibri" w:cs="Arial"/>
          <w:bCs/>
          <w:szCs w:val="22"/>
          <w:lang w:val="en-AU" w:bidi="ar-SA"/>
        </w:rPr>
        <w:lastRenderedPageBreak/>
        <w:t xml:space="preserve">is now outdated as FEMA has published </w:t>
      </w:r>
      <w:r w:rsidRPr="00934A9A">
        <w:t xml:space="preserve">Edition 30 (2022) of its GRAS lists of flavouring substances. The </w:t>
      </w:r>
      <w:r w:rsidR="00B62990">
        <w:t xml:space="preserve">approved </w:t>
      </w:r>
      <w:r w:rsidRPr="00934A9A">
        <w:t>draft variation amend</w:t>
      </w:r>
      <w:r w:rsidR="00B62990">
        <w:t>s</w:t>
      </w:r>
      <w:r w:rsidRPr="00934A9A">
        <w:t xml:space="preserve"> </w:t>
      </w:r>
      <w:r w:rsidRPr="00934A9A">
        <w:rPr>
          <w:rFonts w:eastAsia="Calibri" w:cs="Arial"/>
          <w:bCs/>
          <w:szCs w:val="22"/>
          <w:lang w:val="en-AU" w:bidi="ar-SA"/>
        </w:rPr>
        <w:t xml:space="preserve">the definition of ‘permitted flavouring substance’ to refer instead to the </w:t>
      </w:r>
      <w:r w:rsidR="002E5039">
        <w:rPr>
          <w:rFonts w:eastAsia="Calibri" w:cs="Arial"/>
          <w:bCs/>
          <w:szCs w:val="22"/>
          <w:lang w:val="en-AU" w:bidi="ar-SA"/>
        </w:rPr>
        <w:t>new</w:t>
      </w:r>
      <w:r w:rsidR="002E5039" w:rsidRPr="00934A9A">
        <w:rPr>
          <w:rFonts w:eastAsia="Calibri" w:cs="Arial"/>
          <w:bCs/>
          <w:szCs w:val="22"/>
          <w:lang w:val="en-AU" w:bidi="ar-SA"/>
        </w:rPr>
        <w:t xml:space="preserve"> </w:t>
      </w:r>
      <w:r w:rsidRPr="00934A9A">
        <w:rPr>
          <w:rFonts w:cs="Arial"/>
          <w:color w:val="000000"/>
          <w:szCs w:val="22"/>
          <w:shd w:val="clear" w:color="auto" w:fill="FFFFFF"/>
        </w:rPr>
        <w:t>Edition.</w:t>
      </w:r>
    </w:p>
    <w:p w14:paraId="214F65CD" w14:textId="77777777" w:rsidR="00934A9A" w:rsidRPr="00934A9A" w:rsidRDefault="00934A9A" w:rsidP="00934A9A">
      <w:pPr>
        <w:widowControl/>
        <w:autoSpaceDE w:val="0"/>
        <w:autoSpaceDN w:val="0"/>
        <w:adjustRightInd w:val="0"/>
        <w:rPr>
          <w:rFonts w:cs="Arial"/>
          <w:color w:val="000000"/>
          <w:szCs w:val="22"/>
          <w:shd w:val="clear" w:color="auto" w:fill="FFFFFF"/>
        </w:rPr>
      </w:pPr>
    </w:p>
    <w:p w14:paraId="7E012B2E" w14:textId="77777777" w:rsidR="00934A9A" w:rsidRPr="00934A9A" w:rsidRDefault="00934A9A" w:rsidP="00934A9A">
      <w:pPr>
        <w:widowControl/>
        <w:autoSpaceDE w:val="0"/>
        <w:autoSpaceDN w:val="0"/>
        <w:adjustRightInd w:val="0"/>
        <w:rPr>
          <w:rFonts w:cs="Arial"/>
          <w:color w:val="000000"/>
          <w:szCs w:val="22"/>
          <w:shd w:val="clear" w:color="auto" w:fill="FFFFFF"/>
        </w:rPr>
      </w:pPr>
      <w:r w:rsidRPr="00934A9A">
        <w:rPr>
          <w:rFonts w:cs="Arial"/>
          <w:color w:val="000000"/>
          <w:szCs w:val="22"/>
          <w:shd w:val="clear" w:color="auto" w:fill="FFFFFF"/>
        </w:rPr>
        <w:t xml:space="preserve">A copy of Edition 30 (2022) of FEMA’s </w:t>
      </w:r>
      <w:r w:rsidRPr="00934A9A">
        <w:t xml:space="preserve">GRAS lists of flavouring substances </w:t>
      </w:r>
      <w:r w:rsidRPr="00934A9A">
        <w:rPr>
          <w:rFonts w:cs="Arial"/>
          <w:color w:val="000000"/>
          <w:szCs w:val="22"/>
          <w:shd w:val="clear" w:color="auto" w:fill="FFFFFF"/>
        </w:rPr>
        <w:t xml:space="preserve">is freely and publicly available online at </w:t>
      </w:r>
      <w:hyperlink r:id="rId27" w:history="1">
        <w:r w:rsidRPr="00934A9A">
          <w:rPr>
            <w:rFonts w:cs="Arial"/>
            <w:color w:val="3333FF"/>
            <w:szCs w:val="22"/>
            <w:u w:val="single"/>
            <w:shd w:val="clear" w:color="auto" w:fill="FFFFFF"/>
          </w:rPr>
          <w:t>https://www.femaflavor.org/publications/gras-publications/gras-30</w:t>
        </w:r>
      </w:hyperlink>
    </w:p>
    <w:p w14:paraId="2F4D1EC2" w14:textId="77777777" w:rsidR="00DE35DC" w:rsidRDefault="00DE35DC" w:rsidP="00CE384D">
      <w:pPr>
        <w:widowControl/>
        <w:autoSpaceDE w:val="0"/>
        <w:autoSpaceDN w:val="0"/>
        <w:adjustRightInd w:val="0"/>
        <w:rPr>
          <w:rFonts w:eastAsia="Calibri" w:cs="Arial"/>
          <w:bCs/>
          <w:i/>
          <w:iCs/>
          <w:szCs w:val="22"/>
          <w:lang w:val="en-AU" w:bidi="ar-SA"/>
        </w:rPr>
      </w:pPr>
    </w:p>
    <w:p w14:paraId="40F2A3CC" w14:textId="77F5E488" w:rsidR="00CE384D" w:rsidRPr="00CE384D" w:rsidRDefault="00CE384D" w:rsidP="00CE384D">
      <w:pPr>
        <w:widowControl/>
        <w:autoSpaceDE w:val="0"/>
        <w:autoSpaceDN w:val="0"/>
        <w:adjustRightInd w:val="0"/>
        <w:rPr>
          <w:rFonts w:eastAsia="Calibri" w:cs="Arial"/>
          <w:bCs/>
          <w:i/>
          <w:iCs/>
          <w:szCs w:val="22"/>
          <w:lang w:val="en-AU" w:bidi="ar-SA"/>
        </w:rPr>
      </w:pPr>
      <w:r w:rsidRPr="00CE384D">
        <w:rPr>
          <w:rFonts w:eastAsia="Calibri" w:cs="Arial"/>
          <w:bCs/>
          <w:i/>
          <w:iCs/>
          <w:szCs w:val="22"/>
          <w:lang w:val="en-AU" w:bidi="ar-SA"/>
        </w:rPr>
        <w:t>Standard 2.2.3</w:t>
      </w:r>
    </w:p>
    <w:p w14:paraId="3782A57F" w14:textId="77777777" w:rsidR="00CE384D" w:rsidRPr="00CE384D" w:rsidRDefault="00CE384D" w:rsidP="00CE384D">
      <w:pPr>
        <w:widowControl/>
        <w:autoSpaceDE w:val="0"/>
        <w:autoSpaceDN w:val="0"/>
        <w:adjustRightInd w:val="0"/>
        <w:rPr>
          <w:rFonts w:eastAsia="Calibri" w:cs="Arial"/>
          <w:bCs/>
          <w:i/>
          <w:iCs/>
          <w:szCs w:val="22"/>
          <w:lang w:val="en-AU" w:bidi="ar-SA"/>
        </w:rPr>
      </w:pPr>
    </w:p>
    <w:p w14:paraId="2A13D18E" w14:textId="3A6F1041" w:rsidR="00CE384D" w:rsidRPr="00CE384D" w:rsidRDefault="00CE384D" w:rsidP="00CE384D">
      <w:pPr>
        <w:widowControl/>
        <w:autoSpaceDE w:val="0"/>
        <w:autoSpaceDN w:val="0"/>
        <w:adjustRightInd w:val="0"/>
        <w:rPr>
          <w:rFonts w:eastAsia="Calibri" w:cs="Arial"/>
          <w:bCs/>
          <w:szCs w:val="22"/>
          <w:lang w:val="en-AU" w:bidi="ar-SA"/>
        </w:rPr>
      </w:pPr>
      <w:r w:rsidRPr="00CE384D">
        <w:rPr>
          <w:rFonts w:eastAsia="Calibri" w:cs="Arial"/>
          <w:bCs/>
          <w:szCs w:val="22"/>
          <w:lang w:val="en-AU" w:bidi="ar-SA"/>
        </w:rPr>
        <w:t xml:space="preserve">Standard 2.2.3 contains several editorial Notes. Note 3 provides links to websites that provide guidance on fish names. These include a link to the 2015 edition of the Australian Fish Names Standard published by Standards Australia. Standards Australia has published a 2019 edition of that Standard. </w:t>
      </w:r>
      <w:r w:rsidRPr="00CE384D">
        <w:t xml:space="preserve">The </w:t>
      </w:r>
      <w:r w:rsidR="00F41742">
        <w:t xml:space="preserve">approved </w:t>
      </w:r>
      <w:r w:rsidRPr="00CE384D">
        <w:t>draft variation amend</w:t>
      </w:r>
      <w:r w:rsidR="00F41742">
        <w:t>s</w:t>
      </w:r>
      <w:r w:rsidRPr="00CE384D">
        <w:t xml:space="preserve"> </w:t>
      </w:r>
      <w:r w:rsidRPr="00CE384D">
        <w:rPr>
          <w:rFonts w:eastAsia="Calibri" w:cs="Arial"/>
          <w:bCs/>
          <w:szCs w:val="22"/>
          <w:lang w:val="en-AU" w:bidi="ar-SA"/>
        </w:rPr>
        <w:t>Note 3 in Standard 2.2.3  to refer instead to the 2019 edition of the Australian Fish Names Standard.</w:t>
      </w:r>
    </w:p>
    <w:p w14:paraId="555AF4F3" w14:textId="77777777" w:rsidR="00CE384D" w:rsidRPr="00CE384D" w:rsidRDefault="00CE384D" w:rsidP="00CE384D">
      <w:pPr>
        <w:widowControl/>
        <w:autoSpaceDE w:val="0"/>
        <w:autoSpaceDN w:val="0"/>
        <w:adjustRightInd w:val="0"/>
        <w:rPr>
          <w:rFonts w:eastAsia="Calibri" w:cs="Arial"/>
          <w:bCs/>
          <w:szCs w:val="22"/>
          <w:lang w:val="en-AU" w:bidi="ar-SA"/>
        </w:rPr>
      </w:pPr>
    </w:p>
    <w:p w14:paraId="1D73E93E" w14:textId="77777777" w:rsidR="00CE384D" w:rsidRPr="00CE384D" w:rsidRDefault="00CE384D" w:rsidP="00CE384D">
      <w:pPr>
        <w:widowControl/>
        <w:autoSpaceDE w:val="0"/>
        <w:autoSpaceDN w:val="0"/>
        <w:adjustRightInd w:val="0"/>
        <w:rPr>
          <w:rFonts w:eastAsia="Calibri" w:cs="Arial"/>
          <w:bCs/>
          <w:szCs w:val="22"/>
          <w:lang w:val="en-AU" w:bidi="ar-SA"/>
        </w:rPr>
      </w:pPr>
      <w:r w:rsidRPr="00CE384D">
        <w:rPr>
          <w:bCs/>
          <w:lang w:val="en-AU" w:eastAsia="en-GB" w:bidi="ar-SA"/>
        </w:rPr>
        <w:t xml:space="preserve">Note 3 to Standard 2.2.3 does not incorporate the </w:t>
      </w:r>
      <w:r w:rsidRPr="00CE384D">
        <w:rPr>
          <w:rFonts w:eastAsia="Calibri" w:cs="Arial"/>
          <w:bCs/>
          <w:szCs w:val="22"/>
          <w:lang w:val="en-AU" w:bidi="ar-SA"/>
        </w:rPr>
        <w:t xml:space="preserve">Australian Fish Names Standard by reference. The Note </w:t>
      </w:r>
      <w:r w:rsidRPr="00CE384D">
        <w:rPr>
          <w:bCs/>
          <w:lang w:val="en-AU" w:eastAsia="en-GB" w:bidi="ar-SA"/>
        </w:rPr>
        <w:t xml:space="preserve">has no legal effect. Nor does it impose or set any requirement. Editorial Notes such as Note 3 do not form part of the Code (see the definition of the term ‘standard’ in subsection 4(1) of the FSANZ Act). </w:t>
      </w:r>
    </w:p>
    <w:p w14:paraId="02C7B6A2" w14:textId="77777777" w:rsidR="00CE384D" w:rsidRPr="00CE384D" w:rsidRDefault="00CE384D" w:rsidP="00CE384D">
      <w:pPr>
        <w:widowControl/>
        <w:autoSpaceDE w:val="0"/>
        <w:autoSpaceDN w:val="0"/>
        <w:adjustRightInd w:val="0"/>
        <w:rPr>
          <w:bCs/>
          <w:lang w:val="en-AU" w:eastAsia="en-GB" w:bidi="ar-SA"/>
        </w:rPr>
      </w:pPr>
    </w:p>
    <w:p w14:paraId="685DCC49" w14:textId="20F1CA2A" w:rsidR="00315F5E" w:rsidRDefault="00315F5E" w:rsidP="00CE384D">
      <w:pPr>
        <w:widowControl/>
        <w:autoSpaceDE w:val="0"/>
        <w:autoSpaceDN w:val="0"/>
        <w:adjustRightInd w:val="0"/>
        <w:rPr>
          <w:bCs/>
          <w:lang w:val="en-AU" w:eastAsia="en-GB" w:bidi="ar-SA"/>
        </w:rPr>
      </w:pPr>
      <w:r>
        <w:rPr>
          <w:bCs/>
          <w:lang w:val="en-AU" w:eastAsia="en-GB" w:bidi="ar-SA"/>
        </w:rPr>
        <w:t xml:space="preserve">There are various ways </w:t>
      </w:r>
      <w:r w:rsidR="007E4227">
        <w:rPr>
          <w:bCs/>
          <w:lang w:val="en-AU" w:eastAsia="en-GB" w:bidi="ar-SA"/>
        </w:rPr>
        <w:t>to access</w:t>
      </w:r>
      <w:r>
        <w:rPr>
          <w:bCs/>
          <w:lang w:val="en-AU" w:eastAsia="en-GB" w:bidi="ar-SA"/>
        </w:rPr>
        <w:t xml:space="preserve"> the </w:t>
      </w:r>
      <w:r w:rsidRPr="00CE384D">
        <w:rPr>
          <w:bCs/>
          <w:lang w:val="en-AU" w:eastAsia="en-GB" w:bidi="ar-SA"/>
        </w:rPr>
        <w:t>2019 edition of the Australian Fish Names Standard</w:t>
      </w:r>
      <w:r w:rsidR="00A80169">
        <w:rPr>
          <w:bCs/>
          <w:lang w:val="en-AU" w:eastAsia="en-GB" w:bidi="ar-SA"/>
        </w:rPr>
        <w:t xml:space="preserve"> (the Australian Fish Names Standard)</w:t>
      </w:r>
      <w:r>
        <w:rPr>
          <w:bCs/>
          <w:lang w:val="en-AU" w:eastAsia="en-GB" w:bidi="ar-SA"/>
        </w:rPr>
        <w:t>.</w:t>
      </w:r>
    </w:p>
    <w:p w14:paraId="79A8D337" w14:textId="77777777" w:rsidR="00315F5E" w:rsidRDefault="00315F5E" w:rsidP="00CE384D">
      <w:pPr>
        <w:widowControl/>
        <w:autoSpaceDE w:val="0"/>
        <w:autoSpaceDN w:val="0"/>
        <w:adjustRightInd w:val="0"/>
        <w:rPr>
          <w:bCs/>
          <w:lang w:val="en-AU" w:eastAsia="en-GB" w:bidi="ar-SA"/>
        </w:rPr>
      </w:pPr>
    </w:p>
    <w:p w14:paraId="2D66D6AE" w14:textId="694D0900" w:rsidR="00315F5E" w:rsidRDefault="00CE384D" w:rsidP="00CE384D">
      <w:pPr>
        <w:widowControl/>
        <w:autoSpaceDE w:val="0"/>
        <w:autoSpaceDN w:val="0"/>
        <w:adjustRightInd w:val="0"/>
        <w:rPr>
          <w:bCs/>
          <w:lang w:val="en-AU" w:eastAsia="en-GB" w:bidi="ar-SA"/>
        </w:rPr>
      </w:pPr>
      <w:r w:rsidRPr="00CE384D">
        <w:rPr>
          <w:bCs/>
          <w:lang w:val="en-AU" w:eastAsia="en-GB" w:bidi="ar-SA"/>
        </w:rPr>
        <w:t xml:space="preserve">Copies </w:t>
      </w:r>
      <w:r w:rsidR="00565EE6">
        <w:rPr>
          <w:bCs/>
          <w:lang w:val="en-AU" w:eastAsia="en-GB" w:bidi="ar-SA"/>
        </w:rPr>
        <w:t xml:space="preserve">of </w:t>
      </w:r>
      <w:r w:rsidR="00565EE6" w:rsidRPr="00CE384D">
        <w:rPr>
          <w:bCs/>
          <w:lang w:val="en-AU" w:eastAsia="en-GB" w:bidi="ar-SA"/>
        </w:rPr>
        <w:t xml:space="preserve">the Australian Fish Names Standard </w:t>
      </w:r>
      <w:r w:rsidRPr="00CE384D">
        <w:rPr>
          <w:bCs/>
          <w:lang w:val="en-AU" w:eastAsia="en-GB" w:bidi="ar-SA"/>
        </w:rPr>
        <w:t xml:space="preserve">can be purchased online through the SAI Global </w:t>
      </w:r>
      <w:proofErr w:type="spellStart"/>
      <w:r w:rsidRPr="00CE384D">
        <w:rPr>
          <w:bCs/>
          <w:lang w:val="en-AU" w:eastAsia="en-GB" w:bidi="ar-SA"/>
        </w:rPr>
        <w:t>Infostore</w:t>
      </w:r>
      <w:proofErr w:type="spellEnd"/>
      <w:r w:rsidRPr="00CE384D">
        <w:rPr>
          <w:bCs/>
          <w:lang w:val="en-AU" w:eastAsia="en-GB" w:bidi="ar-SA"/>
        </w:rPr>
        <w:t xml:space="preserve">. </w:t>
      </w:r>
    </w:p>
    <w:p w14:paraId="10EBAFB6" w14:textId="77777777" w:rsidR="00315F5E" w:rsidRDefault="00315F5E" w:rsidP="00CE384D">
      <w:pPr>
        <w:widowControl/>
        <w:autoSpaceDE w:val="0"/>
        <w:autoSpaceDN w:val="0"/>
        <w:adjustRightInd w:val="0"/>
        <w:rPr>
          <w:bCs/>
          <w:lang w:val="en-AU" w:eastAsia="en-GB" w:bidi="ar-SA"/>
        </w:rPr>
      </w:pPr>
    </w:p>
    <w:p w14:paraId="627C69CE" w14:textId="74B4E80C" w:rsidR="00565EE6" w:rsidRDefault="00CE384D" w:rsidP="00CE384D">
      <w:pPr>
        <w:widowControl/>
        <w:autoSpaceDE w:val="0"/>
        <w:autoSpaceDN w:val="0"/>
        <w:adjustRightInd w:val="0"/>
        <w:rPr>
          <w:bCs/>
          <w:lang w:val="en-AU" w:eastAsia="en-GB" w:bidi="ar-SA"/>
        </w:rPr>
      </w:pPr>
      <w:r w:rsidRPr="00CE384D">
        <w:rPr>
          <w:bCs/>
          <w:lang w:val="en-AU" w:eastAsia="en-GB" w:bidi="ar-SA"/>
        </w:rPr>
        <w:t>However</w:t>
      </w:r>
      <w:r w:rsidR="00565EE6">
        <w:rPr>
          <w:bCs/>
          <w:lang w:val="en-AU" w:eastAsia="en-GB" w:bidi="ar-SA"/>
        </w:rPr>
        <w:t>, a</w:t>
      </w:r>
      <w:r w:rsidR="00565EE6" w:rsidRPr="00CE384D">
        <w:rPr>
          <w:bCs/>
          <w:lang w:val="en-AU" w:eastAsia="en-GB" w:bidi="ar-SA"/>
        </w:rPr>
        <w:t>s is explained in Note 3 itself</w:t>
      </w:r>
      <w:r w:rsidR="00565EE6">
        <w:rPr>
          <w:bCs/>
          <w:lang w:val="en-AU" w:eastAsia="en-GB" w:bidi="ar-SA"/>
        </w:rPr>
        <w:t>:</w:t>
      </w:r>
    </w:p>
    <w:p w14:paraId="53B1A83D" w14:textId="77777777" w:rsidR="00565EE6" w:rsidRDefault="00565EE6" w:rsidP="00CE384D">
      <w:pPr>
        <w:widowControl/>
        <w:autoSpaceDE w:val="0"/>
        <w:autoSpaceDN w:val="0"/>
        <w:adjustRightInd w:val="0"/>
        <w:rPr>
          <w:bCs/>
          <w:lang w:val="en-AU" w:eastAsia="en-GB" w:bidi="ar-SA"/>
        </w:rPr>
      </w:pPr>
    </w:p>
    <w:p w14:paraId="42B626CA" w14:textId="74D1ACE9" w:rsidR="00CE384D" w:rsidRPr="00565EE6" w:rsidRDefault="00565EE6" w:rsidP="00565EE6">
      <w:pPr>
        <w:pStyle w:val="ListParagraph"/>
        <w:widowControl/>
        <w:numPr>
          <w:ilvl w:val="0"/>
          <w:numId w:val="11"/>
        </w:numPr>
        <w:autoSpaceDE w:val="0"/>
        <w:autoSpaceDN w:val="0"/>
        <w:adjustRightInd w:val="0"/>
        <w:rPr>
          <w:bCs/>
          <w:lang w:val="en-AU" w:eastAsia="en-GB" w:bidi="ar-SA"/>
        </w:rPr>
      </w:pPr>
      <w:r w:rsidRPr="00565EE6">
        <w:rPr>
          <w:bCs/>
          <w:lang w:val="en-AU" w:eastAsia="en-GB" w:bidi="ar-SA"/>
        </w:rPr>
        <w:t>the Australian Fish Names Standard</w:t>
      </w:r>
      <w:r>
        <w:rPr>
          <w:bCs/>
          <w:lang w:val="en-AU" w:eastAsia="en-GB" w:bidi="ar-SA"/>
        </w:rPr>
        <w:t xml:space="preserve"> is available for viewing at</w:t>
      </w:r>
      <w:r w:rsidR="0088362A">
        <w:rPr>
          <w:bCs/>
          <w:lang w:val="en-AU" w:eastAsia="en-GB" w:bidi="ar-SA"/>
        </w:rPr>
        <w:t xml:space="preserve"> </w:t>
      </w:r>
      <w:hyperlink r:id="rId28" w:history="1">
        <w:r w:rsidR="003E0B9F" w:rsidRPr="00172258">
          <w:rPr>
            <w:rStyle w:val="Hyperlink"/>
            <w:bCs/>
            <w:lang w:val="en-AU" w:eastAsia="en-GB" w:bidi="ar-SA"/>
          </w:rPr>
          <w:t>http://www.fishnames.com.au</w:t>
        </w:r>
      </w:hyperlink>
      <w:r w:rsidR="00772A7F">
        <w:rPr>
          <w:bCs/>
          <w:color w:val="3333FF"/>
          <w:u w:val="single"/>
          <w:lang w:val="en-AU" w:eastAsia="en-GB" w:bidi="ar-SA"/>
        </w:rPr>
        <w:t>,</w:t>
      </w:r>
      <w:r>
        <w:rPr>
          <w:bCs/>
          <w:color w:val="3333FF"/>
          <w:u w:val="single"/>
          <w:lang w:val="en-AU" w:eastAsia="en-GB" w:bidi="ar-SA"/>
        </w:rPr>
        <w:t xml:space="preserve"> at </w:t>
      </w:r>
      <w:r>
        <w:rPr>
          <w:bCs/>
          <w:lang w:val="en-AU" w:eastAsia="en-GB" w:bidi="ar-SA"/>
        </w:rPr>
        <w:t>no cost to the user; and</w:t>
      </w:r>
      <w:r w:rsidRPr="00565EE6">
        <w:rPr>
          <w:bCs/>
          <w:lang w:val="en-AU" w:eastAsia="en-GB" w:bidi="ar-SA"/>
        </w:rPr>
        <w:t xml:space="preserve"> </w:t>
      </w:r>
      <w:r w:rsidR="00CE384D" w:rsidRPr="00565EE6">
        <w:rPr>
          <w:bCs/>
          <w:lang w:val="en-AU" w:eastAsia="en-GB" w:bidi="ar-SA"/>
        </w:rPr>
        <w:t xml:space="preserve"> </w:t>
      </w:r>
    </w:p>
    <w:p w14:paraId="60FAE73A" w14:textId="77777777" w:rsidR="00CE384D" w:rsidRPr="00CE384D" w:rsidRDefault="00CE384D" w:rsidP="00CE384D">
      <w:pPr>
        <w:widowControl/>
        <w:autoSpaceDE w:val="0"/>
        <w:autoSpaceDN w:val="0"/>
        <w:adjustRightInd w:val="0"/>
        <w:rPr>
          <w:bCs/>
          <w:lang w:val="en-AU" w:eastAsia="en-GB" w:bidi="ar-SA"/>
        </w:rPr>
      </w:pPr>
    </w:p>
    <w:p w14:paraId="148596BB" w14:textId="7A718B82" w:rsidR="00CE384D" w:rsidRPr="00CE384D" w:rsidRDefault="00CE384D" w:rsidP="00CE384D">
      <w:pPr>
        <w:widowControl/>
        <w:numPr>
          <w:ilvl w:val="0"/>
          <w:numId w:val="8"/>
        </w:numPr>
        <w:autoSpaceDE w:val="0"/>
        <w:autoSpaceDN w:val="0"/>
        <w:adjustRightInd w:val="0"/>
        <w:contextualSpacing/>
        <w:rPr>
          <w:bCs/>
          <w:lang w:val="en-AU" w:eastAsia="en-GB" w:bidi="ar-SA"/>
        </w:rPr>
      </w:pPr>
      <w:r w:rsidRPr="00CE384D">
        <w:rPr>
          <w:bCs/>
          <w:lang w:val="en-AU" w:eastAsia="en-GB" w:bidi="ar-SA"/>
        </w:rPr>
        <w:t>an online searchable Fish Names Database, which is understood to have the most up-to-date information on all approved group and individual species names, is publicly available at </w:t>
      </w:r>
      <w:hyperlink r:id="rId29" w:history="1">
        <w:r w:rsidRPr="00CE384D">
          <w:rPr>
            <w:bCs/>
            <w:color w:val="3333FF"/>
            <w:u w:val="single"/>
            <w:lang w:val="en-AU" w:eastAsia="en-GB" w:bidi="ar-SA"/>
          </w:rPr>
          <w:t>http://www.fishnames.com.au</w:t>
        </w:r>
      </w:hyperlink>
      <w:r w:rsidRPr="00CE384D">
        <w:rPr>
          <w:bCs/>
          <w:lang w:val="en-AU" w:eastAsia="en-GB" w:bidi="ar-SA"/>
        </w:rPr>
        <w:t xml:space="preserve">. </w:t>
      </w:r>
    </w:p>
    <w:p w14:paraId="63F444AB" w14:textId="77777777" w:rsidR="00CE384D" w:rsidRPr="00CE384D" w:rsidRDefault="00CE384D" w:rsidP="00CE384D">
      <w:pPr>
        <w:widowControl/>
        <w:autoSpaceDE w:val="0"/>
        <w:autoSpaceDN w:val="0"/>
        <w:adjustRightInd w:val="0"/>
        <w:rPr>
          <w:bCs/>
          <w:lang w:val="en-AU" w:eastAsia="en-GB" w:bidi="ar-SA"/>
        </w:rPr>
      </w:pPr>
    </w:p>
    <w:p w14:paraId="1906064C" w14:textId="77777777" w:rsidR="000C4E94" w:rsidRPr="000C4E94" w:rsidRDefault="000C4E94" w:rsidP="000C4E94">
      <w:pPr>
        <w:widowControl/>
        <w:autoSpaceDE w:val="0"/>
        <w:autoSpaceDN w:val="0"/>
        <w:adjustRightInd w:val="0"/>
        <w:rPr>
          <w:rFonts w:eastAsia="Calibri" w:cs="Arial"/>
          <w:bCs/>
          <w:szCs w:val="22"/>
          <w:lang w:val="en-AU" w:bidi="ar-SA"/>
        </w:rPr>
      </w:pPr>
      <w:r w:rsidRPr="000C4E94">
        <w:rPr>
          <w:rFonts w:eastAsia="Calibri" w:cs="Arial"/>
          <w:bCs/>
          <w:i/>
          <w:iCs/>
          <w:szCs w:val="22"/>
          <w:lang w:val="en-AU" w:bidi="ar-SA"/>
        </w:rPr>
        <w:t>Standard 4.2.1</w:t>
      </w:r>
    </w:p>
    <w:p w14:paraId="172C5546" w14:textId="77777777" w:rsidR="000C4E94" w:rsidRPr="000C4E94" w:rsidRDefault="000C4E94" w:rsidP="000C4E94">
      <w:pPr>
        <w:widowControl/>
        <w:autoSpaceDE w:val="0"/>
        <w:autoSpaceDN w:val="0"/>
        <w:adjustRightInd w:val="0"/>
        <w:rPr>
          <w:rFonts w:eastAsia="Calibri" w:cs="Arial"/>
          <w:bCs/>
          <w:szCs w:val="22"/>
          <w:lang w:val="en-AU" w:bidi="ar-SA"/>
        </w:rPr>
      </w:pPr>
    </w:p>
    <w:p w14:paraId="1AD012BB" w14:textId="77777777" w:rsidR="000C4E94" w:rsidRPr="000C4E94" w:rsidRDefault="000C4E94" w:rsidP="000C4E94">
      <w:pPr>
        <w:widowControl/>
        <w:autoSpaceDE w:val="0"/>
        <w:autoSpaceDN w:val="0"/>
        <w:adjustRightInd w:val="0"/>
        <w:rPr>
          <w:rFonts w:cs="Arial"/>
          <w:szCs w:val="22"/>
          <w:shd w:val="clear" w:color="auto" w:fill="FFFFFF"/>
        </w:rPr>
      </w:pPr>
      <w:r w:rsidRPr="000C4E94">
        <w:rPr>
          <w:rFonts w:eastAsia="Calibri" w:cs="Arial"/>
          <w:bCs/>
          <w:szCs w:val="22"/>
          <w:lang w:val="en-AU" w:bidi="ar-SA"/>
        </w:rPr>
        <w:t xml:space="preserve">Section 4.2.1—16 sets out a requirement related to implementing a documented food safety management system that effectively control the hazards, with which food businesses engaged in the primary production or processing of, or manufacturing activities concerning, bivalve molluscs must comply. This provision incorporates by reference certain publications documenting food safety management systems which relevant food businesses may implement, thereby complying with the requirement. These publications include the </w:t>
      </w:r>
      <w:r w:rsidRPr="000C4E94">
        <w:rPr>
          <w:i/>
          <w:iCs/>
        </w:rPr>
        <w:t xml:space="preserve">Export Control (Fish and Fish Products) Orders </w:t>
      </w:r>
      <w:r w:rsidRPr="000C4E94">
        <w:rPr>
          <w:rFonts w:cs="Arial"/>
          <w:i/>
          <w:iCs/>
          <w:szCs w:val="22"/>
        </w:rPr>
        <w:t xml:space="preserve">2005 </w:t>
      </w:r>
      <w:r w:rsidRPr="000C4E94">
        <w:rPr>
          <w:rFonts w:cs="Arial"/>
          <w:szCs w:val="22"/>
        </w:rPr>
        <w:t xml:space="preserve">made under the </w:t>
      </w:r>
      <w:r w:rsidRPr="000C4E94">
        <w:rPr>
          <w:rFonts w:cs="Arial"/>
          <w:i/>
          <w:iCs/>
          <w:szCs w:val="22"/>
          <w:shd w:val="clear" w:color="auto" w:fill="FFFFFF"/>
        </w:rPr>
        <w:t>Export Control (Orders) Regulations 1982</w:t>
      </w:r>
      <w:r w:rsidRPr="000C4E94">
        <w:rPr>
          <w:rFonts w:cs="Arial"/>
          <w:szCs w:val="22"/>
          <w:shd w:val="clear" w:color="auto" w:fill="FFFFFF"/>
        </w:rPr>
        <w:t xml:space="preserve"> (</w:t>
      </w:r>
      <w:proofErr w:type="spellStart"/>
      <w:r w:rsidRPr="000C4E94">
        <w:rPr>
          <w:rFonts w:cs="Arial"/>
          <w:szCs w:val="22"/>
          <w:shd w:val="clear" w:color="auto" w:fill="FFFFFF"/>
        </w:rPr>
        <w:t>Cth</w:t>
      </w:r>
      <w:proofErr w:type="spellEnd"/>
      <w:r w:rsidRPr="000C4E94">
        <w:rPr>
          <w:rFonts w:cs="Arial"/>
          <w:szCs w:val="22"/>
          <w:shd w:val="clear" w:color="auto" w:fill="FFFFFF"/>
        </w:rPr>
        <w:t xml:space="preserve">). </w:t>
      </w:r>
    </w:p>
    <w:p w14:paraId="3B6B6188" w14:textId="77777777" w:rsidR="000C4E94" w:rsidRPr="000C4E94" w:rsidRDefault="000C4E94" w:rsidP="000C4E94">
      <w:pPr>
        <w:widowControl/>
        <w:autoSpaceDE w:val="0"/>
        <w:autoSpaceDN w:val="0"/>
        <w:adjustRightInd w:val="0"/>
        <w:rPr>
          <w:rFonts w:cs="Arial"/>
          <w:szCs w:val="22"/>
          <w:shd w:val="clear" w:color="auto" w:fill="FFFFFF"/>
        </w:rPr>
      </w:pPr>
    </w:p>
    <w:p w14:paraId="218970D4" w14:textId="1EED8EEA" w:rsidR="000C4E94" w:rsidRPr="000C4E94" w:rsidRDefault="000C4E94" w:rsidP="000C4E94">
      <w:pPr>
        <w:widowControl/>
        <w:autoSpaceDE w:val="0"/>
        <w:autoSpaceDN w:val="0"/>
        <w:adjustRightInd w:val="0"/>
        <w:rPr>
          <w:rFonts w:eastAsia="Calibri" w:cs="Arial"/>
          <w:bCs/>
          <w:szCs w:val="22"/>
          <w:lang w:val="en-AU" w:bidi="ar-SA"/>
        </w:rPr>
      </w:pPr>
      <w:r w:rsidRPr="000C4E94">
        <w:rPr>
          <w:rFonts w:cs="Arial"/>
          <w:szCs w:val="22"/>
          <w:shd w:val="clear" w:color="auto" w:fill="FFFFFF"/>
        </w:rPr>
        <w:t xml:space="preserve">The 2005 Orders have been replaced by the </w:t>
      </w:r>
      <w:r w:rsidRPr="000C4E94">
        <w:rPr>
          <w:rFonts w:cs="Arial"/>
          <w:i/>
          <w:iCs/>
          <w:szCs w:val="22"/>
          <w:lang w:eastAsia="en-AU"/>
        </w:rPr>
        <w:t>Export Control (Fish and Fish Products) Rules 2021</w:t>
      </w:r>
      <w:r w:rsidRPr="000C4E94">
        <w:rPr>
          <w:rFonts w:cs="Arial"/>
          <w:szCs w:val="22"/>
          <w:lang w:eastAsia="en-AU"/>
        </w:rPr>
        <w:t xml:space="preserve">. </w:t>
      </w:r>
      <w:r w:rsidRPr="000C4E94">
        <w:t xml:space="preserve">The </w:t>
      </w:r>
      <w:r w:rsidR="000E69F3">
        <w:t xml:space="preserve">approved </w:t>
      </w:r>
      <w:r w:rsidRPr="000C4E94">
        <w:t>draft variation amend</w:t>
      </w:r>
      <w:r w:rsidR="000E69F3">
        <w:t>s</w:t>
      </w:r>
      <w:r w:rsidRPr="000C4E94">
        <w:t xml:space="preserve"> </w:t>
      </w:r>
      <w:r w:rsidRPr="000C4E94">
        <w:rPr>
          <w:rFonts w:eastAsia="Calibri" w:cs="Arial"/>
          <w:bCs/>
          <w:szCs w:val="22"/>
          <w:lang w:val="en-AU" w:bidi="ar-SA"/>
        </w:rPr>
        <w:t xml:space="preserve">section 4.2.1—16 to refer instead to the 2021 </w:t>
      </w:r>
      <w:r w:rsidRPr="000C4E94">
        <w:rPr>
          <w:rFonts w:cs="Arial"/>
          <w:color w:val="000000"/>
          <w:szCs w:val="22"/>
          <w:shd w:val="clear" w:color="auto" w:fill="FFFFFF"/>
        </w:rPr>
        <w:t>Rules.</w:t>
      </w:r>
      <w:r w:rsidRPr="000C4E94" w:rsidDel="003A4CAC">
        <w:rPr>
          <w:rFonts w:eastAsia="Calibri" w:cs="Arial"/>
          <w:bCs/>
          <w:szCs w:val="22"/>
          <w:lang w:val="en-AU" w:bidi="ar-SA"/>
        </w:rPr>
        <w:t xml:space="preserve"> </w:t>
      </w:r>
    </w:p>
    <w:p w14:paraId="30BA475D" w14:textId="77777777" w:rsidR="000C4E94" w:rsidRPr="000C4E94" w:rsidRDefault="000C4E94" w:rsidP="000C4E94">
      <w:pPr>
        <w:widowControl/>
        <w:autoSpaceDE w:val="0"/>
        <w:autoSpaceDN w:val="0"/>
        <w:adjustRightInd w:val="0"/>
        <w:rPr>
          <w:rFonts w:cs="Arial"/>
          <w:color w:val="000000"/>
          <w:szCs w:val="22"/>
          <w:shd w:val="clear" w:color="auto" w:fill="FFFFFF"/>
        </w:rPr>
      </w:pPr>
    </w:p>
    <w:p w14:paraId="3EDC2EC0" w14:textId="6CAC1E91" w:rsidR="00CE384D" w:rsidRDefault="000C4E94" w:rsidP="0013657C">
      <w:pPr>
        <w:widowControl/>
        <w:autoSpaceDE w:val="0"/>
        <w:autoSpaceDN w:val="0"/>
        <w:adjustRightInd w:val="0"/>
        <w:rPr>
          <w:lang w:val="en-AU" w:eastAsia="en-GB" w:bidi="ar-SA"/>
        </w:rPr>
      </w:pPr>
      <w:r w:rsidRPr="000C4E94">
        <w:rPr>
          <w:rFonts w:cs="Arial"/>
          <w:color w:val="000000"/>
          <w:szCs w:val="22"/>
          <w:shd w:val="clear" w:color="auto" w:fill="FFFFFF"/>
        </w:rPr>
        <w:t xml:space="preserve">A copy of </w:t>
      </w:r>
      <w:r w:rsidRPr="000C4E94">
        <w:rPr>
          <w:rFonts w:cs="Arial"/>
          <w:szCs w:val="22"/>
          <w:shd w:val="clear" w:color="auto" w:fill="FFFFFF"/>
        </w:rPr>
        <w:t xml:space="preserve">the </w:t>
      </w:r>
      <w:r w:rsidRPr="000C4E94">
        <w:rPr>
          <w:rFonts w:eastAsia="Calibri" w:cs="Arial"/>
          <w:bCs/>
          <w:szCs w:val="22"/>
          <w:lang w:val="en-AU" w:bidi="ar-SA"/>
        </w:rPr>
        <w:t xml:space="preserve">2021 </w:t>
      </w:r>
      <w:r w:rsidRPr="000C4E94">
        <w:rPr>
          <w:rFonts w:cs="Arial"/>
          <w:color w:val="000000"/>
          <w:szCs w:val="22"/>
          <w:shd w:val="clear" w:color="auto" w:fill="FFFFFF"/>
        </w:rPr>
        <w:t xml:space="preserve">Rules is freely and publicly available online at </w:t>
      </w:r>
      <w:hyperlink r:id="rId30" w:history="1">
        <w:r w:rsidRPr="000C4E94">
          <w:rPr>
            <w:rFonts w:cs="Arial"/>
            <w:color w:val="3333FF"/>
            <w:szCs w:val="22"/>
            <w:u w:val="single"/>
            <w:shd w:val="clear" w:color="auto" w:fill="FFFFFF"/>
          </w:rPr>
          <w:t>https://www.legislation.gov.au/Details/F2021L00317</w:t>
        </w:r>
      </w:hyperlink>
      <w:r w:rsidRPr="000C4E94">
        <w:rPr>
          <w:rFonts w:cs="Arial"/>
          <w:color w:val="000000"/>
          <w:szCs w:val="22"/>
          <w:shd w:val="clear" w:color="auto" w:fill="FFFFFF"/>
        </w:rPr>
        <w:t xml:space="preserve">. </w:t>
      </w:r>
    </w:p>
    <w:p w14:paraId="0D934077" w14:textId="77777777" w:rsidR="007D2B24" w:rsidRDefault="007D2B24" w:rsidP="00542839">
      <w:pPr>
        <w:widowControl/>
        <w:autoSpaceDE w:val="0"/>
        <w:autoSpaceDN w:val="0"/>
        <w:adjustRightInd w:val="0"/>
        <w:rPr>
          <w:rFonts w:eastAsia="Calibri" w:cs="Arial"/>
          <w:bCs/>
          <w:i/>
          <w:iCs/>
          <w:szCs w:val="22"/>
          <w:lang w:val="en-AU" w:bidi="ar-SA"/>
        </w:rPr>
      </w:pPr>
    </w:p>
    <w:p w14:paraId="032927AB" w14:textId="492E3AD1" w:rsidR="00542839" w:rsidRPr="00542839" w:rsidRDefault="00542839" w:rsidP="00542839">
      <w:pPr>
        <w:widowControl/>
        <w:autoSpaceDE w:val="0"/>
        <w:autoSpaceDN w:val="0"/>
        <w:adjustRightInd w:val="0"/>
        <w:rPr>
          <w:rFonts w:eastAsia="Calibri" w:cs="Arial"/>
          <w:bCs/>
          <w:i/>
          <w:iCs/>
          <w:szCs w:val="22"/>
          <w:lang w:val="en-AU" w:bidi="ar-SA"/>
        </w:rPr>
      </w:pPr>
      <w:r w:rsidRPr="00542839">
        <w:rPr>
          <w:rFonts w:eastAsia="Calibri" w:cs="Arial"/>
          <w:bCs/>
          <w:i/>
          <w:iCs/>
          <w:szCs w:val="22"/>
          <w:lang w:val="en-AU" w:bidi="ar-SA"/>
        </w:rPr>
        <w:lastRenderedPageBreak/>
        <w:t>Standard 4.2.2</w:t>
      </w:r>
    </w:p>
    <w:p w14:paraId="5CE36EEF" w14:textId="77777777" w:rsidR="00542839" w:rsidRPr="00542839" w:rsidRDefault="00542839" w:rsidP="00542839">
      <w:pPr>
        <w:widowControl/>
        <w:autoSpaceDE w:val="0"/>
        <w:autoSpaceDN w:val="0"/>
        <w:adjustRightInd w:val="0"/>
        <w:rPr>
          <w:rFonts w:eastAsia="Calibri" w:cs="Arial"/>
          <w:bCs/>
          <w:i/>
          <w:iCs/>
          <w:szCs w:val="22"/>
          <w:lang w:val="en-AU" w:bidi="ar-SA"/>
        </w:rPr>
      </w:pPr>
      <w:r w:rsidRPr="00542839">
        <w:rPr>
          <w:rFonts w:eastAsia="Calibri" w:cs="Arial"/>
          <w:bCs/>
          <w:i/>
          <w:iCs/>
          <w:szCs w:val="22"/>
          <w:lang w:val="en-AU" w:bidi="ar-SA"/>
        </w:rPr>
        <w:t xml:space="preserve"> </w:t>
      </w:r>
    </w:p>
    <w:p w14:paraId="1C23C04A" w14:textId="74A6B744" w:rsidR="00542839" w:rsidRPr="00542839" w:rsidRDefault="00542839" w:rsidP="00542839">
      <w:pPr>
        <w:widowControl/>
        <w:autoSpaceDE w:val="0"/>
        <w:autoSpaceDN w:val="0"/>
        <w:adjustRightInd w:val="0"/>
        <w:rPr>
          <w:rFonts w:cs="Arial"/>
          <w:i/>
          <w:iCs/>
          <w:color w:val="000000"/>
          <w:szCs w:val="22"/>
          <w:shd w:val="clear" w:color="auto" w:fill="FFFFFF"/>
        </w:rPr>
      </w:pPr>
      <w:r w:rsidRPr="00542839">
        <w:rPr>
          <w:rFonts w:eastAsia="Calibri" w:cs="Arial"/>
          <w:bCs/>
          <w:szCs w:val="22"/>
          <w:lang w:val="en-AU" w:bidi="ar-SA"/>
        </w:rPr>
        <w:t xml:space="preserve">Standard 4.2.2 contains an editorial Note to clause 14 of that Standard. The Note refers readers to </w:t>
      </w:r>
      <w:r w:rsidRPr="00542839">
        <w:rPr>
          <w:rFonts w:cs="Arial"/>
          <w:color w:val="000000"/>
          <w:szCs w:val="22"/>
          <w:shd w:val="clear" w:color="auto" w:fill="FFFFFF"/>
        </w:rPr>
        <w:t xml:space="preserve">the 2004 edition of the </w:t>
      </w:r>
      <w:r w:rsidRPr="00542839">
        <w:rPr>
          <w:rFonts w:cs="Arial"/>
          <w:i/>
          <w:iCs/>
          <w:color w:val="000000"/>
          <w:szCs w:val="22"/>
          <w:shd w:val="clear" w:color="auto" w:fill="FFFFFF"/>
        </w:rPr>
        <w:t xml:space="preserve">Australian Drinking Water Guidelines </w:t>
      </w:r>
      <w:r w:rsidRPr="00542839">
        <w:rPr>
          <w:rFonts w:cs="Arial"/>
          <w:color w:val="000000"/>
          <w:szCs w:val="22"/>
          <w:shd w:val="clear" w:color="auto" w:fill="FFFFFF"/>
        </w:rPr>
        <w:t>issued by the National Health and Medical Research Council of Australia (NHMRC).</w:t>
      </w:r>
      <w:r w:rsidRPr="00542839">
        <w:rPr>
          <w:rFonts w:eastAsia="Calibri" w:cs="Arial"/>
          <w:bCs/>
          <w:szCs w:val="22"/>
          <w:lang w:val="en-AU" w:bidi="ar-SA"/>
        </w:rPr>
        <w:t xml:space="preserve"> The Guidelines provide guidance on what can constitute acceptable drinking water. The NMHRC has published a 2011 edition of the Guidelines. </w:t>
      </w:r>
      <w:r w:rsidRPr="00542839">
        <w:t xml:space="preserve">The </w:t>
      </w:r>
      <w:r w:rsidR="00A010FD">
        <w:t xml:space="preserve">approved </w:t>
      </w:r>
      <w:r w:rsidRPr="00542839">
        <w:t>draft variation amend</w:t>
      </w:r>
      <w:r w:rsidR="00A010FD">
        <w:t>s</w:t>
      </w:r>
      <w:r w:rsidRPr="00542839">
        <w:t xml:space="preserve"> </w:t>
      </w:r>
      <w:r w:rsidRPr="00542839">
        <w:rPr>
          <w:rFonts w:eastAsia="Calibri" w:cs="Arial"/>
          <w:bCs/>
          <w:szCs w:val="22"/>
          <w:lang w:val="en-AU" w:bidi="ar-SA"/>
        </w:rPr>
        <w:t xml:space="preserve">the editorial Note to clause 14 of Standard 4.2.2  to refer instead to the 2011 edition of the </w:t>
      </w:r>
      <w:r w:rsidRPr="00542839">
        <w:rPr>
          <w:rFonts w:cs="Arial"/>
          <w:i/>
          <w:iCs/>
          <w:color w:val="000000"/>
          <w:szCs w:val="22"/>
          <w:shd w:val="clear" w:color="auto" w:fill="FFFFFF"/>
        </w:rPr>
        <w:t>Australian Drinking Water Guidelines.</w:t>
      </w:r>
    </w:p>
    <w:p w14:paraId="22948BDC" w14:textId="77777777" w:rsidR="00542839" w:rsidRPr="00542839" w:rsidRDefault="00542839" w:rsidP="00542839">
      <w:pPr>
        <w:widowControl/>
        <w:autoSpaceDE w:val="0"/>
        <w:autoSpaceDN w:val="0"/>
        <w:adjustRightInd w:val="0"/>
        <w:rPr>
          <w:rFonts w:cs="Arial"/>
          <w:i/>
          <w:iCs/>
          <w:color w:val="000000"/>
          <w:szCs w:val="22"/>
          <w:shd w:val="clear" w:color="auto" w:fill="FFFFFF"/>
        </w:rPr>
      </w:pPr>
    </w:p>
    <w:p w14:paraId="37C63A82" w14:textId="77777777" w:rsidR="00542839" w:rsidRPr="00542839" w:rsidRDefault="00542839" w:rsidP="00542839">
      <w:pPr>
        <w:widowControl/>
        <w:autoSpaceDE w:val="0"/>
        <w:autoSpaceDN w:val="0"/>
        <w:adjustRightInd w:val="0"/>
        <w:rPr>
          <w:rFonts w:eastAsia="Calibri" w:cs="Arial"/>
          <w:bCs/>
          <w:szCs w:val="22"/>
          <w:lang w:val="en-AU" w:bidi="ar-SA"/>
        </w:rPr>
      </w:pPr>
      <w:r w:rsidRPr="00542839">
        <w:rPr>
          <w:bCs/>
          <w:lang w:val="en-AU" w:eastAsia="en-GB" w:bidi="ar-SA"/>
        </w:rPr>
        <w:t xml:space="preserve">The </w:t>
      </w:r>
      <w:r w:rsidRPr="00542839">
        <w:rPr>
          <w:rFonts w:eastAsia="Calibri" w:cs="Arial"/>
          <w:bCs/>
          <w:szCs w:val="22"/>
          <w:lang w:val="en-AU" w:bidi="ar-SA"/>
        </w:rPr>
        <w:t xml:space="preserve">Note </w:t>
      </w:r>
      <w:r w:rsidRPr="00542839">
        <w:rPr>
          <w:bCs/>
          <w:lang w:val="en-AU" w:eastAsia="en-GB" w:bidi="ar-SA"/>
        </w:rPr>
        <w:t xml:space="preserve">does not incorporate </w:t>
      </w:r>
      <w:r w:rsidRPr="00542839">
        <w:rPr>
          <w:rFonts w:cs="Arial"/>
          <w:i/>
          <w:iCs/>
          <w:color w:val="000000"/>
          <w:szCs w:val="22"/>
          <w:shd w:val="clear" w:color="auto" w:fill="FFFFFF"/>
        </w:rPr>
        <w:t>Australian Drinking Water Guidelines</w:t>
      </w:r>
      <w:r w:rsidRPr="00542839">
        <w:rPr>
          <w:rFonts w:eastAsia="Calibri" w:cs="Arial"/>
          <w:bCs/>
          <w:szCs w:val="22"/>
          <w:lang w:val="en-AU" w:bidi="ar-SA"/>
        </w:rPr>
        <w:t xml:space="preserve"> by reference. The Note h</w:t>
      </w:r>
      <w:r w:rsidRPr="00542839">
        <w:rPr>
          <w:bCs/>
          <w:lang w:val="en-AU" w:eastAsia="en-GB" w:bidi="ar-SA"/>
        </w:rPr>
        <w:t xml:space="preserve">as no legal effect. Nor does it impose or set any requirement. Editorial Notes do not form part of the Code (see the definition of the term ‘standard’ in subsection 4(1) of the FSANZ Act). </w:t>
      </w:r>
    </w:p>
    <w:p w14:paraId="4ABF60EC" w14:textId="77777777" w:rsidR="00542839" w:rsidRPr="00542839" w:rsidRDefault="00542839" w:rsidP="00542839">
      <w:pPr>
        <w:widowControl/>
        <w:autoSpaceDE w:val="0"/>
        <w:autoSpaceDN w:val="0"/>
        <w:adjustRightInd w:val="0"/>
        <w:rPr>
          <w:bCs/>
          <w:lang w:val="en-AU" w:eastAsia="en-GB" w:bidi="ar-SA"/>
        </w:rPr>
      </w:pPr>
    </w:p>
    <w:p w14:paraId="2AF61374" w14:textId="77777777" w:rsidR="00542839" w:rsidRPr="00542839" w:rsidRDefault="00542839" w:rsidP="00542839">
      <w:pPr>
        <w:widowControl/>
        <w:autoSpaceDE w:val="0"/>
        <w:autoSpaceDN w:val="0"/>
        <w:adjustRightInd w:val="0"/>
        <w:rPr>
          <w:bCs/>
          <w:lang w:val="en-AU" w:eastAsia="en-GB" w:bidi="ar-SA"/>
        </w:rPr>
      </w:pPr>
      <w:r w:rsidRPr="00542839">
        <w:rPr>
          <w:bCs/>
          <w:lang w:val="en-AU" w:eastAsia="en-GB" w:bidi="ar-SA"/>
        </w:rPr>
        <w:t xml:space="preserve">The 2011 edition of the </w:t>
      </w:r>
      <w:r w:rsidRPr="00542839">
        <w:rPr>
          <w:rFonts w:cs="Arial"/>
          <w:i/>
          <w:iCs/>
          <w:color w:val="000000"/>
          <w:szCs w:val="22"/>
          <w:shd w:val="clear" w:color="auto" w:fill="FFFFFF"/>
        </w:rPr>
        <w:t xml:space="preserve">Australian Drinking Water Guidelines </w:t>
      </w:r>
      <w:r w:rsidRPr="00542839">
        <w:rPr>
          <w:bCs/>
          <w:lang w:val="en-AU" w:eastAsia="en-GB" w:bidi="ar-SA"/>
        </w:rPr>
        <w:t xml:space="preserve">is </w:t>
      </w:r>
      <w:r w:rsidRPr="00542839">
        <w:rPr>
          <w:rFonts w:cs="Arial"/>
          <w:color w:val="000000"/>
          <w:szCs w:val="22"/>
          <w:shd w:val="clear" w:color="auto" w:fill="FFFFFF"/>
        </w:rPr>
        <w:t xml:space="preserve">freely and publicly </w:t>
      </w:r>
      <w:r w:rsidRPr="00542839">
        <w:rPr>
          <w:bCs/>
          <w:lang w:val="en-AU" w:eastAsia="en-GB" w:bidi="ar-SA"/>
        </w:rPr>
        <w:t xml:space="preserve">available at: </w:t>
      </w:r>
      <w:hyperlink r:id="rId31" w:history="1">
        <w:r w:rsidRPr="00542839">
          <w:rPr>
            <w:bCs/>
            <w:color w:val="3333FF"/>
            <w:u w:val="single"/>
            <w:lang w:val="en-AU" w:eastAsia="en-GB" w:bidi="ar-SA"/>
          </w:rPr>
          <w:t>https://www.nhmrc.gov.au/about-us/publications/australian-drinking-water-guidelines</w:t>
        </w:r>
      </w:hyperlink>
      <w:r w:rsidRPr="00542839">
        <w:rPr>
          <w:bCs/>
          <w:lang w:val="en-AU" w:eastAsia="en-GB" w:bidi="ar-SA"/>
        </w:rPr>
        <w:t>.</w:t>
      </w:r>
    </w:p>
    <w:p w14:paraId="76D2A716" w14:textId="3CB9CF2D" w:rsidR="000C4E94" w:rsidRDefault="000C4E94" w:rsidP="00456BD5">
      <w:pPr>
        <w:rPr>
          <w:lang w:val="en-AU" w:eastAsia="en-GB" w:bidi="ar-SA"/>
        </w:rPr>
      </w:pPr>
    </w:p>
    <w:p w14:paraId="33943AA9" w14:textId="77777777" w:rsidR="004755F8" w:rsidRPr="004755F8" w:rsidRDefault="004755F8" w:rsidP="004755F8">
      <w:pPr>
        <w:widowControl/>
        <w:autoSpaceDE w:val="0"/>
        <w:autoSpaceDN w:val="0"/>
        <w:adjustRightInd w:val="0"/>
        <w:rPr>
          <w:rFonts w:eastAsia="Calibri" w:cs="Arial"/>
          <w:bCs/>
          <w:i/>
          <w:iCs/>
          <w:szCs w:val="22"/>
          <w:lang w:val="en-AU" w:bidi="ar-SA"/>
        </w:rPr>
      </w:pPr>
      <w:r w:rsidRPr="004755F8">
        <w:rPr>
          <w:rFonts w:eastAsia="Calibri" w:cs="Arial"/>
          <w:bCs/>
          <w:i/>
          <w:iCs/>
          <w:szCs w:val="22"/>
          <w:lang w:val="en-AU" w:bidi="ar-SA"/>
        </w:rPr>
        <w:t>Standard 4.2.3</w:t>
      </w:r>
    </w:p>
    <w:p w14:paraId="589B3185" w14:textId="77777777" w:rsidR="004755F8" w:rsidRPr="004755F8" w:rsidRDefault="004755F8" w:rsidP="004755F8">
      <w:pPr>
        <w:widowControl/>
        <w:autoSpaceDE w:val="0"/>
        <w:autoSpaceDN w:val="0"/>
        <w:adjustRightInd w:val="0"/>
        <w:rPr>
          <w:rFonts w:eastAsia="Calibri" w:cs="Arial"/>
          <w:bCs/>
          <w:i/>
          <w:iCs/>
          <w:szCs w:val="22"/>
          <w:lang w:val="en-AU" w:bidi="ar-SA"/>
        </w:rPr>
      </w:pPr>
      <w:r w:rsidRPr="004755F8">
        <w:rPr>
          <w:rFonts w:eastAsia="Calibri" w:cs="Arial"/>
          <w:bCs/>
          <w:i/>
          <w:iCs/>
          <w:szCs w:val="22"/>
          <w:lang w:val="en-AU" w:bidi="ar-SA"/>
        </w:rPr>
        <w:t xml:space="preserve"> </w:t>
      </w:r>
    </w:p>
    <w:p w14:paraId="54C7AA22" w14:textId="400058AE" w:rsidR="004755F8" w:rsidRPr="004755F8" w:rsidRDefault="004755F8" w:rsidP="004755F8">
      <w:pPr>
        <w:widowControl/>
        <w:autoSpaceDE w:val="0"/>
        <w:autoSpaceDN w:val="0"/>
        <w:adjustRightInd w:val="0"/>
        <w:rPr>
          <w:rFonts w:cs="Arial"/>
          <w:i/>
          <w:iCs/>
          <w:color w:val="000000"/>
          <w:szCs w:val="22"/>
          <w:shd w:val="clear" w:color="auto" w:fill="FFFFFF"/>
        </w:rPr>
      </w:pPr>
      <w:r w:rsidRPr="004755F8">
        <w:rPr>
          <w:rFonts w:eastAsia="Calibri" w:cs="Arial"/>
          <w:bCs/>
          <w:szCs w:val="22"/>
          <w:lang w:val="en-AU" w:bidi="ar-SA"/>
        </w:rPr>
        <w:t xml:space="preserve">Standard 4.2.3 contains an editorial Note to the table to clause 4 of that Standard. The Note refers readers to </w:t>
      </w:r>
      <w:r w:rsidRPr="004755F8">
        <w:rPr>
          <w:rFonts w:cs="Arial"/>
          <w:color w:val="000000"/>
          <w:szCs w:val="22"/>
          <w:shd w:val="clear" w:color="auto" w:fill="FFFFFF"/>
        </w:rPr>
        <w:t>the </w:t>
      </w:r>
      <w:r w:rsidRPr="004755F8">
        <w:rPr>
          <w:rFonts w:cs="Arial"/>
          <w:i/>
          <w:iCs/>
          <w:color w:val="000000"/>
          <w:szCs w:val="22"/>
          <w:shd w:val="clear" w:color="auto" w:fill="FFFFFF"/>
        </w:rPr>
        <w:t>Commonwealth Export Control (Meat and Meat Products) Orders 2005</w:t>
      </w:r>
      <w:r w:rsidRPr="004755F8">
        <w:rPr>
          <w:rFonts w:cs="Arial"/>
          <w:color w:val="000000"/>
          <w:szCs w:val="22"/>
          <w:shd w:val="clear" w:color="auto" w:fill="FFFFFF"/>
        </w:rPr>
        <w:t xml:space="preserve"> (</w:t>
      </w:r>
      <w:proofErr w:type="spellStart"/>
      <w:r w:rsidRPr="004755F8">
        <w:rPr>
          <w:rFonts w:cs="Arial"/>
          <w:color w:val="000000"/>
          <w:szCs w:val="22"/>
          <w:shd w:val="clear" w:color="auto" w:fill="FFFFFF"/>
        </w:rPr>
        <w:t>Cth</w:t>
      </w:r>
      <w:proofErr w:type="spellEnd"/>
      <w:r w:rsidRPr="004755F8">
        <w:rPr>
          <w:rFonts w:cs="Arial"/>
          <w:color w:val="000000"/>
          <w:szCs w:val="22"/>
          <w:shd w:val="clear" w:color="auto" w:fill="FFFFFF"/>
        </w:rPr>
        <w:t xml:space="preserve">) </w:t>
      </w:r>
      <w:r w:rsidRPr="004755F8">
        <w:rPr>
          <w:bCs/>
          <w:szCs w:val="22"/>
          <w:lang w:val="en-AU" w:eastAsia="en-GB" w:bidi="ar-SA"/>
        </w:rPr>
        <w:t xml:space="preserve">as one example of a food safety management system that a ‘relevant authority’ may recognise for the purposes of Standard 4.2.3. The </w:t>
      </w:r>
      <w:r w:rsidRPr="004755F8">
        <w:rPr>
          <w:rFonts w:cs="Arial"/>
          <w:i/>
          <w:iCs/>
          <w:color w:val="000000"/>
          <w:szCs w:val="22"/>
          <w:shd w:val="clear" w:color="auto" w:fill="FFFFFF"/>
        </w:rPr>
        <w:t>Commonwealth Export Control (Meat and Meat Products) Orders 2005</w:t>
      </w:r>
      <w:r w:rsidRPr="004755F8">
        <w:rPr>
          <w:rFonts w:cs="Arial"/>
          <w:color w:val="000000"/>
          <w:szCs w:val="22"/>
          <w:shd w:val="clear" w:color="auto" w:fill="FFFFFF"/>
        </w:rPr>
        <w:t xml:space="preserve"> (</w:t>
      </w:r>
      <w:proofErr w:type="spellStart"/>
      <w:r w:rsidRPr="004755F8">
        <w:rPr>
          <w:rFonts w:cs="Arial"/>
          <w:color w:val="000000"/>
          <w:szCs w:val="22"/>
          <w:shd w:val="clear" w:color="auto" w:fill="FFFFFF"/>
        </w:rPr>
        <w:t>Cth</w:t>
      </w:r>
      <w:proofErr w:type="spellEnd"/>
      <w:r w:rsidRPr="004755F8">
        <w:rPr>
          <w:rFonts w:cs="Arial"/>
          <w:color w:val="000000"/>
          <w:szCs w:val="22"/>
          <w:shd w:val="clear" w:color="auto" w:fill="FFFFFF"/>
        </w:rPr>
        <w:t xml:space="preserve">) have been replaced by the </w:t>
      </w:r>
      <w:r w:rsidRPr="004755F8">
        <w:rPr>
          <w:bCs/>
          <w:i/>
          <w:iCs/>
          <w:szCs w:val="22"/>
          <w:lang w:val="en-AU" w:eastAsia="en-GB" w:bidi="ar-SA"/>
        </w:rPr>
        <w:t xml:space="preserve">Export Control (Meat and Meat Product) Rules 2021 </w:t>
      </w:r>
      <w:r w:rsidRPr="004755F8">
        <w:rPr>
          <w:bCs/>
          <w:szCs w:val="22"/>
          <w:lang w:val="en-AU" w:eastAsia="en-GB" w:bidi="ar-SA"/>
        </w:rPr>
        <w:t>(</w:t>
      </w:r>
      <w:proofErr w:type="spellStart"/>
      <w:r w:rsidRPr="004755F8">
        <w:rPr>
          <w:bCs/>
          <w:szCs w:val="22"/>
          <w:lang w:val="en-AU" w:eastAsia="en-GB" w:bidi="ar-SA"/>
        </w:rPr>
        <w:t>Cth</w:t>
      </w:r>
      <w:proofErr w:type="spellEnd"/>
      <w:r w:rsidRPr="004755F8">
        <w:rPr>
          <w:bCs/>
          <w:szCs w:val="22"/>
          <w:lang w:val="en-AU" w:eastAsia="en-GB" w:bidi="ar-SA"/>
        </w:rPr>
        <w:t xml:space="preserve">). </w:t>
      </w:r>
      <w:r w:rsidRPr="004755F8">
        <w:t xml:space="preserve">The </w:t>
      </w:r>
      <w:r w:rsidR="003A1749">
        <w:t xml:space="preserve">approved </w:t>
      </w:r>
      <w:r w:rsidRPr="004755F8">
        <w:t>draft variation amend</w:t>
      </w:r>
      <w:r w:rsidR="003A1749">
        <w:t>s</w:t>
      </w:r>
      <w:r w:rsidRPr="004755F8">
        <w:t xml:space="preserve"> </w:t>
      </w:r>
      <w:r w:rsidRPr="004755F8">
        <w:rPr>
          <w:rFonts w:eastAsia="Calibri" w:cs="Arial"/>
          <w:bCs/>
          <w:szCs w:val="22"/>
          <w:lang w:val="en-AU" w:bidi="ar-SA"/>
        </w:rPr>
        <w:t>the editorial Note to the table to clause 4 of Standard 4.2.3 to refer instead to the 2021 Rules</w:t>
      </w:r>
      <w:r w:rsidRPr="004755F8">
        <w:rPr>
          <w:rFonts w:cs="Arial"/>
          <w:i/>
          <w:iCs/>
          <w:color w:val="000000"/>
          <w:szCs w:val="22"/>
          <w:shd w:val="clear" w:color="auto" w:fill="FFFFFF"/>
        </w:rPr>
        <w:t>.</w:t>
      </w:r>
    </w:p>
    <w:p w14:paraId="0AD6CCFF" w14:textId="77777777" w:rsidR="004755F8" w:rsidRPr="004755F8" w:rsidRDefault="004755F8" w:rsidP="004755F8">
      <w:pPr>
        <w:widowControl/>
        <w:autoSpaceDE w:val="0"/>
        <w:autoSpaceDN w:val="0"/>
        <w:adjustRightInd w:val="0"/>
        <w:rPr>
          <w:rFonts w:cs="Arial"/>
          <w:i/>
          <w:iCs/>
          <w:color w:val="000000"/>
          <w:szCs w:val="22"/>
          <w:shd w:val="clear" w:color="auto" w:fill="FFFFFF"/>
        </w:rPr>
      </w:pPr>
    </w:p>
    <w:p w14:paraId="6D8302AA" w14:textId="77777777" w:rsidR="004755F8" w:rsidRPr="004755F8" w:rsidRDefault="004755F8" w:rsidP="004755F8">
      <w:pPr>
        <w:widowControl/>
        <w:autoSpaceDE w:val="0"/>
        <w:autoSpaceDN w:val="0"/>
        <w:adjustRightInd w:val="0"/>
        <w:rPr>
          <w:bCs/>
          <w:lang w:val="en-AU" w:eastAsia="en-GB" w:bidi="ar-SA"/>
        </w:rPr>
      </w:pPr>
      <w:r w:rsidRPr="004755F8">
        <w:rPr>
          <w:bCs/>
          <w:lang w:val="en-AU" w:eastAsia="en-GB" w:bidi="ar-SA"/>
        </w:rPr>
        <w:t xml:space="preserve">The </w:t>
      </w:r>
      <w:r w:rsidRPr="004755F8">
        <w:rPr>
          <w:rFonts w:eastAsia="Calibri" w:cs="Arial"/>
          <w:bCs/>
          <w:szCs w:val="22"/>
          <w:lang w:val="en-AU" w:bidi="ar-SA"/>
        </w:rPr>
        <w:t>Note does not incorporate the 2021 Rules by reference. The note has</w:t>
      </w:r>
      <w:r w:rsidRPr="004755F8">
        <w:rPr>
          <w:bCs/>
          <w:lang w:val="en-AU" w:eastAsia="en-GB" w:bidi="ar-SA"/>
        </w:rPr>
        <w:t xml:space="preserve"> no legal effect. Editorial Notes and examples do not form part of the Code (see the definition of the term ‘standard’ in subsection 4(1) of the FSANZ Act). </w:t>
      </w:r>
    </w:p>
    <w:p w14:paraId="560A1E28" w14:textId="77777777" w:rsidR="004755F8" w:rsidRPr="004755F8" w:rsidRDefault="004755F8" w:rsidP="004755F8">
      <w:pPr>
        <w:widowControl/>
        <w:autoSpaceDE w:val="0"/>
        <w:autoSpaceDN w:val="0"/>
        <w:adjustRightInd w:val="0"/>
        <w:rPr>
          <w:bCs/>
          <w:lang w:val="en-AU" w:eastAsia="en-GB" w:bidi="ar-SA"/>
        </w:rPr>
      </w:pPr>
    </w:p>
    <w:p w14:paraId="3F4DBED3" w14:textId="0BD6BB36" w:rsidR="00542839" w:rsidRDefault="004755F8" w:rsidP="004755F8">
      <w:pPr>
        <w:rPr>
          <w:rFonts w:cs="Arial"/>
          <w:color w:val="3333FF"/>
          <w:szCs w:val="22"/>
          <w:u w:val="single"/>
          <w:shd w:val="clear" w:color="auto" w:fill="FFFFFF"/>
        </w:rPr>
      </w:pPr>
      <w:r w:rsidRPr="004755F8">
        <w:rPr>
          <w:rFonts w:cs="Arial"/>
          <w:color w:val="000000"/>
          <w:szCs w:val="22"/>
          <w:shd w:val="clear" w:color="auto" w:fill="FFFFFF"/>
        </w:rPr>
        <w:t xml:space="preserve">A copy of </w:t>
      </w:r>
      <w:r w:rsidRPr="004755F8">
        <w:rPr>
          <w:rFonts w:cs="Arial"/>
          <w:szCs w:val="22"/>
          <w:shd w:val="clear" w:color="auto" w:fill="FFFFFF"/>
        </w:rPr>
        <w:t xml:space="preserve">the </w:t>
      </w:r>
      <w:r w:rsidRPr="004755F8">
        <w:rPr>
          <w:rFonts w:eastAsia="Calibri" w:cs="Arial"/>
          <w:bCs/>
          <w:szCs w:val="22"/>
          <w:lang w:val="en-AU" w:bidi="ar-SA"/>
        </w:rPr>
        <w:t xml:space="preserve">2021 </w:t>
      </w:r>
      <w:r w:rsidRPr="004755F8">
        <w:rPr>
          <w:rFonts w:cs="Arial"/>
          <w:color w:val="000000"/>
          <w:szCs w:val="22"/>
          <w:shd w:val="clear" w:color="auto" w:fill="FFFFFF"/>
        </w:rPr>
        <w:t xml:space="preserve">Rules is freely and publicly available online at </w:t>
      </w:r>
      <w:hyperlink r:id="rId32" w:history="1">
        <w:r w:rsidRPr="004755F8">
          <w:rPr>
            <w:rFonts w:cs="Arial"/>
            <w:color w:val="3333FF"/>
            <w:szCs w:val="22"/>
            <w:u w:val="single"/>
            <w:shd w:val="clear" w:color="auto" w:fill="FFFFFF"/>
          </w:rPr>
          <w:t>https://www.legislation.gov.au/Details/F2021L00317</w:t>
        </w:r>
      </w:hyperlink>
    </w:p>
    <w:p w14:paraId="47D8BC31" w14:textId="60B878C5" w:rsidR="004755F8" w:rsidRDefault="004755F8" w:rsidP="004755F8">
      <w:pPr>
        <w:rPr>
          <w:rFonts w:cs="Arial"/>
          <w:color w:val="3333FF"/>
          <w:szCs w:val="22"/>
          <w:u w:val="single"/>
          <w:shd w:val="clear" w:color="auto" w:fill="FFFFFF"/>
        </w:rPr>
      </w:pPr>
    </w:p>
    <w:p w14:paraId="7F6CAF87" w14:textId="77777777" w:rsidR="0022456F" w:rsidRPr="0022456F" w:rsidRDefault="0022456F" w:rsidP="0022456F">
      <w:pPr>
        <w:widowControl/>
        <w:autoSpaceDE w:val="0"/>
        <w:autoSpaceDN w:val="0"/>
        <w:adjustRightInd w:val="0"/>
        <w:rPr>
          <w:rFonts w:eastAsia="Calibri" w:cs="Arial"/>
          <w:bCs/>
          <w:i/>
          <w:iCs/>
          <w:szCs w:val="22"/>
          <w:lang w:val="en-AU" w:bidi="ar-SA"/>
        </w:rPr>
      </w:pPr>
      <w:r w:rsidRPr="0022456F">
        <w:rPr>
          <w:rFonts w:eastAsia="Calibri" w:cs="Arial"/>
          <w:bCs/>
          <w:i/>
          <w:iCs/>
          <w:szCs w:val="22"/>
          <w:lang w:val="en-AU" w:bidi="ar-SA"/>
        </w:rPr>
        <w:t>Schedule 3</w:t>
      </w:r>
    </w:p>
    <w:p w14:paraId="0796DC43" w14:textId="77777777" w:rsidR="0022456F" w:rsidRPr="0022456F" w:rsidRDefault="0022456F" w:rsidP="0022456F">
      <w:pPr>
        <w:widowControl/>
        <w:autoSpaceDE w:val="0"/>
        <w:autoSpaceDN w:val="0"/>
        <w:adjustRightInd w:val="0"/>
        <w:rPr>
          <w:rFonts w:eastAsia="Calibri" w:cs="Arial"/>
          <w:bCs/>
          <w:szCs w:val="22"/>
          <w:lang w:val="en-AU" w:bidi="ar-SA"/>
        </w:rPr>
      </w:pPr>
    </w:p>
    <w:p w14:paraId="418CA086" w14:textId="77777777" w:rsidR="0022456F" w:rsidRPr="0022456F" w:rsidRDefault="0022456F" w:rsidP="0022456F">
      <w:pPr>
        <w:widowControl/>
        <w:autoSpaceDE w:val="0"/>
        <w:autoSpaceDN w:val="0"/>
        <w:adjustRightInd w:val="0"/>
      </w:pPr>
      <w:r w:rsidRPr="0022456F">
        <w:t xml:space="preserve">Section 1.1.1—15 of the Code requires certain substances to comply with any relevant identity and purity specifications listed in Schedule 3 of the Code. </w:t>
      </w:r>
    </w:p>
    <w:p w14:paraId="4AF718A2" w14:textId="77777777" w:rsidR="0022456F" w:rsidRPr="0022456F" w:rsidRDefault="0022456F" w:rsidP="0022456F">
      <w:pPr>
        <w:widowControl/>
        <w:autoSpaceDE w:val="0"/>
        <w:autoSpaceDN w:val="0"/>
        <w:adjustRightInd w:val="0"/>
      </w:pPr>
    </w:p>
    <w:p w14:paraId="0478E489" w14:textId="77777777" w:rsidR="0022456F" w:rsidRPr="0022456F" w:rsidRDefault="0022456F" w:rsidP="0022456F">
      <w:pPr>
        <w:widowControl/>
        <w:autoSpaceDE w:val="0"/>
        <w:autoSpaceDN w:val="0"/>
        <w:adjustRightInd w:val="0"/>
      </w:pPr>
      <w:r w:rsidRPr="0022456F">
        <w:t>Schedule 3 incorporates certain publications by reference to set specifications for various substances in the circumstances specified in that Schedule. The publications listed include the following:</w:t>
      </w:r>
    </w:p>
    <w:p w14:paraId="2CE3FB8A" w14:textId="77777777" w:rsidR="0022456F" w:rsidRPr="0022456F" w:rsidRDefault="0022456F" w:rsidP="0022456F">
      <w:pPr>
        <w:widowControl/>
        <w:autoSpaceDE w:val="0"/>
        <w:autoSpaceDN w:val="0"/>
        <w:adjustRightInd w:val="0"/>
      </w:pPr>
    </w:p>
    <w:p w14:paraId="4135B792" w14:textId="77777777" w:rsidR="0022456F" w:rsidRPr="00126720" w:rsidRDefault="0022456F" w:rsidP="00126720">
      <w:pPr>
        <w:pStyle w:val="ListParagraph"/>
        <w:widowControl/>
        <w:numPr>
          <w:ilvl w:val="0"/>
          <w:numId w:val="10"/>
        </w:numPr>
        <w:rPr>
          <w:rFonts w:cs="Arial"/>
          <w:szCs w:val="22"/>
          <w:lang w:bidi="ar-SA"/>
        </w:rPr>
      </w:pPr>
      <w:r w:rsidRPr="00126720">
        <w:rPr>
          <w:rFonts w:cs="Arial"/>
          <w:szCs w:val="22"/>
          <w:lang w:bidi="ar-SA"/>
        </w:rPr>
        <w:t xml:space="preserve">the Compendium of Food Additive Specifications published by the Food and Agriculture Organisation of the United Nations /World Health Organisation Expert Committee on Food Additives  (JECFA) </w:t>
      </w:r>
      <w:r w:rsidRPr="00126720">
        <w:rPr>
          <w:rFonts w:cs="Arial"/>
          <w:color w:val="000000"/>
          <w:szCs w:val="22"/>
          <w:shd w:val="clear" w:color="auto" w:fill="FFFFFF"/>
          <w:lang w:bidi="ar-SA"/>
        </w:rPr>
        <w:t>in the Monographs listed in Schedule 3</w:t>
      </w:r>
      <w:r w:rsidRPr="00126720">
        <w:rPr>
          <w:rFonts w:cs="Arial"/>
          <w:szCs w:val="22"/>
          <w:lang w:bidi="ar-SA"/>
        </w:rPr>
        <w:t xml:space="preserve">; </w:t>
      </w:r>
    </w:p>
    <w:p w14:paraId="44D03F18" w14:textId="149473FC" w:rsidR="0022456F" w:rsidRPr="00126720" w:rsidRDefault="0022456F" w:rsidP="00126720">
      <w:pPr>
        <w:pStyle w:val="ListParagraph"/>
        <w:widowControl/>
        <w:numPr>
          <w:ilvl w:val="0"/>
          <w:numId w:val="10"/>
        </w:numPr>
        <w:rPr>
          <w:rFonts w:cs="Arial"/>
          <w:color w:val="000000"/>
          <w:szCs w:val="22"/>
          <w:shd w:val="clear" w:color="auto" w:fill="FFFFFF"/>
          <w:lang w:bidi="ar-SA"/>
        </w:rPr>
      </w:pPr>
      <w:r w:rsidRPr="00126720">
        <w:rPr>
          <w:rFonts w:cs="Arial"/>
          <w:szCs w:val="22"/>
          <w:lang w:bidi="ar-SA"/>
        </w:rPr>
        <w:t>the 12</w:t>
      </w:r>
      <w:r w:rsidR="000B56E9" w:rsidRPr="000B56E9">
        <w:rPr>
          <w:rFonts w:cs="Arial"/>
          <w:szCs w:val="22"/>
          <w:vertAlign w:val="superscript"/>
          <w:lang w:bidi="ar-SA"/>
        </w:rPr>
        <w:t>th</w:t>
      </w:r>
      <w:r w:rsidRPr="00126720">
        <w:rPr>
          <w:rFonts w:cs="Arial"/>
          <w:szCs w:val="22"/>
          <w:lang w:bidi="ar-SA"/>
        </w:rPr>
        <w:t xml:space="preserve"> edition (2020) of the </w:t>
      </w:r>
      <w:r w:rsidRPr="00126720">
        <w:rPr>
          <w:rFonts w:cs="Arial"/>
          <w:color w:val="000000"/>
          <w:szCs w:val="22"/>
          <w:shd w:val="clear" w:color="auto" w:fill="FFFFFF"/>
          <w:lang w:bidi="ar-SA"/>
        </w:rPr>
        <w:t xml:space="preserve">Food chemicals codex published by the United States Pharmacopeial Convention; and </w:t>
      </w:r>
    </w:p>
    <w:p w14:paraId="04115A82" w14:textId="77777777" w:rsidR="0022456F" w:rsidRPr="00126720" w:rsidRDefault="0022456F" w:rsidP="00126720">
      <w:pPr>
        <w:pStyle w:val="ListParagraph"/>
        <w:widowControl/>
        <w:numPr>
          <w:ilvl w:val="0"/>
          <w:numId w:val="10"/>
        </w:numPr>
        <w:rPr>
          <w:rFonts w:cs="Arial"/>
          <w:color w:val="000000"/>
          <w:szCs w:val="22"/>
          <w:shd w:val="clear" w:color="auto" w:fill="FFFFFF"/>
          <w:lang w:bidi="ar-SA"/>
        </w:rPr>
      </w:pPr>
      <w:r w:rsidRPr="00126720">
        <w:rPr>
          <w:rFonts w:cs="Arial"/>
          <w:szCs w:val="22"/>
          <w:lang w:bidi="ar-SA"/>
        </w:rPr>
        <w:t xml:space="preserve">the 2018 edition of the International Oenological Codex published by the </w:t>
      </w:r>
      <w:r w:rsidRPr="00126720">
        <w:rPr>
          <w:rFonts w:cs="Arial"/>
          <w:color w:val="000000"/>
          <w:szCs w:val="22"/>
          <w:shd w:val="clear" w:color="auto" w:fill="FFFFFF"/>
          <w:lang w:bidi="ar-SA"/>
        </w:rPr>
        <w:t xml:space="preserve">Organisation Internationale de la </w:t>
      </w:r>
      <w:proofErr w:type="spellStart"/>
      <w:r w:rsidRPr="00126720">
        <w:rPr>
          <w:rFonts w:cs="Arial"/>
          <w:color w:val="000000"/>
          <w:szCs w:val="22"/>
          <w:shd w:val="clear" w:color="auto" w:fill="FFFFFF"/>
          <w:lang w:bidi="ar-SA"/>
        </w:rPr>
        <w:t>Vigne</w:t>
      </w:r>
      <w:proofErr w:type="spellEnd"/>
      <w:r w:rsidRPr="00126720">
        <w:rPr>
          <w:rFonts w:cs="Arial"/>
          <w:color w:val="000000"/>
          <w:szCs w:val="22"/>
          <w:shd w:val="clear" w:color="auto" w:fill="FFFFFF"/>
          <w:lang w:bidi="ar-SA"/>
        </w:rPr>
        <w:t xml:space="preserve"> et du Vin (OIV).</w:t>
      </w:r>
    </w:p>
    <w:p w14:paraId="28C9D816" w14:textId="77777777" w:rsidR="0022456F" w:rsidRPr="0022456F" w:rsidRDefault="0022456F" w:rsidP="0022456F">
      <w:pPr>
        <w:rPr>
          <w:lang w:bidi="ar-SA"/>
        </w:rPr>
      </w:pPr>
    </w:p>
    <w:p w14:paraId="627399EF" w14:textId="6629F25D" w:rsidR="0022456F" w:rsidRPr="0022456F" w:rsidRDefault="0022456F" w:rsidP="0022456F">
      <w:pPr>
        <w:rPr>
          <w:rFonts w:cs="Arial"/>
          <w:szCs w:val="22"/>
          <w:lang w:eastAsia="en-AU"/>
        </w:rPr>
      </w:pPr>
      <w:r w:rsidRPr="0022456F">
        <w:rPr>
          <w:rFonts w:eastAsia="Calibri" w:cs="Arial"/>
          <w:color w:val="000000"/>
          <w:szCs w:val="22"/>
          <w:lang w:bidi="ar-SA"/>
        </w:rPr>
        <w:t xml:space="preserve">The </w:t>
      </w:r>
      <w:r w:rsidR="00975B2F">
        <w:rPr>
          <w:rFonts w:eastAsia="Calibri" w:cs="Arial"/>
          <w:color w:val="000000"/>
          <w:szCs w:val="22"/>
          <w:lang w:bidi="ar-SA"/>
        </w:rPr>
        <w:t xml:space="preserve">approved </w:t>
      </w:r>
      <w:r w:rsidRPr="0022456F">
        <w:rPr>
          <w:rFonts w:eastAsia="Calibri" w:cs="Arial"/>
          <w:bCs/>
          <w:color w:val="000000"/>
          <w:szCs w:val="22"/>
          <w:lang w:bidi="ar-SA"/>
        </w:rPr>
        <w:t>draft variation amend</w:t>
      </w:r>
      <w:r w:rsidR="00975B2F">
        <w:rPr>
          <w:rFonts w:eastAsia="Calibri" w:cs="Arial"/>
          <w:bCs/>
          <w:color w:val="000000"/>
          <w:szCs w:val="22"/>
          <w:lang w:bidi="ar-SA"/>
        </w:rPr>
        <w:t>s</w:t>
      </w:r>
      <w:r w:rsidRPr="0022456F">
        <w:rPr>
          <w:rFonts w:eastAsia="Calibri" w:cs="Arial"/>
          <w:bCs/>
          <w:color w:val="000000"/>
          <w:szCs w:val="22"/>
          <w:lang w:bidi="ar-SA"/>
        </w:rPr>
        <w:t xml:space="preserve"> relevant provisions in Schedule 3 to update these </w:t>
      </w:r>
      <w:r w:rsidRPr="0022456F">
        <w:rPr>
          <w:rFonts w:eastAsia="Calibri" w:cs="Arial"/>
          <w:bCs/>
          <w:color w:val="000000"/>
          <w:szCs w:val="22"/>
          <w:lang w:bidi="ar-SA"/>
        </w:rPr>
        <w:lastRenderedPageBreak/>
        <w:t>references to refer to the following</w:t>
      </w:r>
      <w:r w:rsidRPr="0022456F">
        <w:rPr>
          <w:rFonts w:cs="Arial"/>
          <w:szCs w:val="22"/>
          <w:lang w:eastAsia="en-AU"/>
        </w:rPr>
        <w:t xml:space="preserve">. </w:t>
      </w:r>
      <w:r w:rsidRPr="0022456F">
        <w:rPr>
          <w:rFonts w:cs="Arial"/>
          <w:szCs w:val="22"/>
          <w:lang w:eastAsia="en-AU"/>
        </w:rPr>
        <w:br/>
      </w:r>
    </w:p>
    <w:p w14:paraId="07E54CC8" w14:textId="77777777" w:rsidR="0022456F" w:rsidRPr="0022456F" w:rsidRDefault="0022456F" w:rsidP="0022456F">
      <w:pPr>
        <w:numPr>
          <w:ilvl w:val="0"/>
          <w:numId w:val="9"/>
        </w:numPr>
        <w:contextualSpacing/>
        <w:rPr>
          <w:rFonts w:eastAsia="Calibri" w:cs="Arial"/>
          <w:color w:val="000000"/>
          <w:szCs w:val="22"/>
          <w:lang w:bidi="ar-SA"/>
        </w:rPr>
      </w:pPr>
      <w:r w:rsidRPr="0022456F">
        <w:rPr>
          <w:rFonts w:cs="Arial"/>
          <w:szCs w:val="22"/>
          <w:lang w:eastAsia="en-AU"/>
        </w:rPr>
        <w:t xml:space="preserve">JECFA has added new Monographs 25 (2020) and 26 (2021) to its </w:t>
      </w:r>
      <w:r w:rsidRPr="0022456F">
        <w:rPr>
          <w:rFonts w:cs="Arial"/>
          <w:szCs w:val="22"/>
        </w:rPr>
        <w:t>Compendium of Food Additive Specifications</w:t>
      </w:r>
      <w:r w:rsidRPr="0022456F">
        <w:rPr>
          <w:rFonts w:cs="Arial"/>
          <w:szCs w:val="22"/>
          <w:lang w:eastAsia="en-AU"/>
        </w:rPr>
        <w:t xml:space="preserve">. Copies are </w:t>
      </w:r>
      <w:r w:rsidRPr="0022456F">
        <w:rPr>
          <w:rFonts w:cs="Arial"/>
          <w:color w:val="000000"/>
          <w:szCs w:val="22"/>
          <w:shd w:val="clear" w:color="auto" w:fill="FFFFFF"/>
        </w:rPr>
        <w:t xml:space="preserve">freely and publicly available online at </w:t>
      </w:r>
      <w:hyperlink r:id="rId33" w:history="1">
        <w:r w:rsidRPr="0022456F">
          <w:rPr>
            <w:rFonts w:eastAsia="Calibri" w:cs="Arial"/>
            <w:color w:val="3333FF"/>
            <w:szCs w:val="22"/>
            <w:u w:val="single"/>
            <w:lang w:bidi="ar-SA"/>
          </w:rPr>
          <w:t>https://www.fao.org/food/food-safety-quality/scientific-advice/jecfa/jecfa-additives/en/</w:t>
        </w:r>
      </w:hyperlink>
      <w:r w:rsidRPr="0022456F">
        <w:rPr>
          <w:rFonts w:eastAsia="Calibri" w:cs="Arial"/>
          <w:color w:val="000000"/>
          <w:szCs w:val="22"/>
          <w:lang w:bidi="ar-SA"/>
        </w:rPr>
        <w:t xml:space="preserve">. </w:t>
      </w:r>
      <w:r w:rsidRPr="0022456F">
        <w:rPr>
          <w:rFonts w:eastAsia="Calibri" w:cs="Arial"/>
          <w:color w:val="000000"/>
          <w:szCs w:val="22"/>
          <w:lang w:bidi="ar-SA"/>
        </w:rPr>
        <w:br/>
      </w:r>
    </w:p>
    <w:p w14:paraId="1FFDF6A9" w14:textId="10887919" w:rsidR="004755F8" w:rsidRPr="005C0C65" w:rsidRDefault="0022456F" w:rsidP="005C0C65">
      <w:pPr>
        <w:pStyle w:val="ListParagraph"/>
        <w:numPr>
          <w:ilvl w:val="0"/>
          <w:numId w:val="9"/>
        </w:numPr>
        <w:rPr>
          <w:rFonts w:cs="Arial"/>
          <w:color w:val="000000"/>
          <w:szCs w:val="22"/>
          <w:shd w:val="clear" w:color="auto" w:fill="FFFFFF"/>
        </w:rPr>
      </w:pPr>
      <w:r w:rsidRPr="005C0C65">
        <w:rPr>
          <w:rFonts w:cs="Arial"/>
          <w:szCs w:val="22"/>
          <w:lang w:eastAsia="en-AU"/>
        </w:rPr>
        <w:t xml:space="preserve">The OIV has published a new edition (2022) of the International Oenological Codex. A copy is </w:t>
      </w:r>
      <w:r w:rsidRPr="005C0C65">
        <w:rPr>
          <w:rFonts w:cs="Arial"/>
          <w:color w:val="000000"/>
          <w:szCs w:val="22"/>
          <w:shd w:val="clear" w:color="auto" w:fill="FFFFFF"/>
        </w:rPr>
        <w:t xml:space="preserve">freely and publicly available online at </w:t>
      </w:r>
      <w:hyperlink r:id="rId34" w:history="1">
        <w:r w:rsidRPr="005C0C65">
          <w:rPr>
            <w:rFonts w:cs="Arial"/>
            <w:color w:val="3333FF"/>
            <w:szCs w:val="22"/>
            <w:u w:val="single"/>
            <w:shd w:val="clear" w:color="auto" w:fill="FFFFFF"/>
          </w:rPr>
          <w:t>https://www.oiv.int/standards/international-oenological-codex</w:t>
        </w:r>
      </w:hyperlink>
      <w:r w:rsidRPr="005C0C65">
        <w:rPr>
          <w:rFonts w:cs="Arial"/>
          <w:color w:val="000000"/>
          <w:szCs w:val="22"/>
          <w:shd w:val="clear" w:color="auto" w:fill="FFFFFF"/>
        </w:rPr>
        <w:t>.</w:t>
      </w:r>
    </w:p>
    <w:p w14:paraId="5E9A6B3A" w14:textId="65108448" w:rsidR="0022456F" w:rsidRDefault="0022456F" w:rsidP="0022456F">
      <w:pPr>
        <w:rPr>
          <w:rFonts w:cs="Arial"/>
          <w:color w:val="000000"/>
          <w:szCs w:val="22"/>
          <w:shd w:val="clear" w:color="auto" w:fill="FFFFFF"/>
        </w:rPr>
      </w:pPr>
    </w:p>
    <w:p w14:paraId="2D5ADBFC" w14:textId="1244FA14" w:rsidR="00656FB2" w:rsidRPr="003A4FC8" w:rsidRDefault="00181B9D" w:rsidP="003A4FC8">
      <w:pPr>
        <w:pStyle w:val="ListParagraph"/>
        <w:numPr>
          <w:ilvl w:val="0"/>
          <w:numId w:val="9"/>
        </w:numPr>
        <w:rPr>
          <w:rFonts w:cs="Arial"/>
          <w:szCs w:val="22"/>
          <w:lang w:eastAsia="en-AU"/>
        </w:rPr>
      </w:pPr>
      <w:r w:rsidRPr="003A4FC8">
        <w:rPr>
          <w:rFonts w:cs="Arial"/>
          <w:szCs w:val="22"/>
          <w:lang w:eastAsia="en-AU"/>
        </w:rPr>
        <w:t>The United States Pharmacopeial Convention has published a new 2022 (13</w:t>
      </w:r>
      <w:r w:rsidRPr="003A4FC8">
        <w:rPr>
          <w:rFonts w:cs="Arial"/>
          <w:szCs w:val="22"/>
          <w:vertAlign w:val="superscript"/>
          <w:lang w:eastAsia="en-AU"/>
        </w:rPr>
        <w:t>th</w:t>
      </w:r>
      <w:r w:rsidRPr="003A4FC8">
        <w:rPr>
          <w:rFonts w:cs="Arial"/>
          <w:szCs w:val="22"/>
          <w:lang w:eastAsia="en-AU"/>
        </w:rPr>
        <w:t xml:space="preserve"> edition) of the Food chemicals codex (FCC). A copy is </w:t>
      </w:r>
      <w:r w:rsidRPr="003A4FC8">
        <w:rPr>
          <w:rFonts w:cs="Arial"/>
          <w:color w:val="000000"/>
          <w:szCs w:val="22"/>
          <w:shd w:val="clear" w:color="auto" w:fill="FFFFFF"/>
        </w:rPr>
        <w:t xml:space="preserve">available online at </w:t>
      </w:r>
      <w:hyperlink r:id="rId35" w:history="1">
        <w:r w:rsidRPr="003A4FC8">
          <w:rPr>
            <w:rFonts w:cs="Arial"/>
            <w:color w:val="3333FF"/>
            <w:szCs w:val="22"/>
            <w:u w:val="single"/>
            <w:shd w:val="clear" w:color="auto" w:fill="FFFFFF"/>
          </w:rPr>
          <w:t>https://www.foodchemicalscodex.org/</w:t>
        </w:r>
      </w:hyperlink>
      <w:r w:rsidRPr="003A4FC8">
        <w:rPr>
          <w:rFonts w:cs="Arial"/>
          <w:szCs w:val="22"/>
          <w:lang w:eastAsia="en-AU"/>
        </w:rPr>
        <w:br/>
      </w:r>
      <w:r w:rsidRPr="003A4FC8">
        <w:rPr>
          <w:rFonts w:cs="Arial"/>
          <w:szCs w:val="22"/>
          <w:lang w:eastAsia="en-AU"/>
        </w:rPr>
        <w:br/>
      </w:r>
      <w:r w:rsidRPr="003A4FC8">
        <w:rPr>
          <w:rFonts w:cs="Arial"/>
          <w:szCs w:val="22"/>
        </w:rPr>
        <w:t xml:space="preserve">The FCC is not available for free. However, it is anticipated that the persons most affected by its adoption in the Code (food manufacturers), would be in possession of the document in order to manufacture food products. As </w:t>
      </w:r>
      <w:r w:rsidR="00530D73" w:rsidRPr="003A4FC8">
        <w:rPr>
          <w:rFonts w:cs="Arial"/>
          <w:szCs w:val="22"/>
        </w:rPr>
        <w:t xml:space="preserve">an </w:t>
      </w:r>
      <w:r w:rsidRPr="003A4FC8">
        <w:rPr>
          <w:rFonts w:cs="Arial"/>
          <w:szCs w:val="22"/>
        </w:rPr>
        <w:t>important international benchmark for the safety and quality of food ingredients, it would be infeasible from a regulatory perspective to not adopt such benchmarks on the basis that the publications are not available for free.</w:t>
      </w:r>
      <w:r w:rsidRPr="003A4FC8">
        <w:rPr>
          <w:rFonts w:cs="Arial"/>
          <w:szCs w:val="22"/>
        </w:rPr>
        <w:br/>
      </w:r>
      <w:r w:rsidRPr="003A4FC8">
        <w:rPr>
          <w:rFonts w:cs="Arial"/>
          <w:szCs w:val="22"/>
        </w:rPr>
        <w:br/>
        <w:t>However, by prior written arrangement with the Authority, members of the public may arrange to view the FCC without charge at the Authority’s Wellington and Canberra Offices</w:t>
      </w:r>
      <w:r w:rsidR="00656FB2" w:rsidRPr="003A4FC8">
        <w:rPr>
          <w:rFonts w:ascii="Segoe UI" w:hAnsi="Segoe UI" w:cs="Segoe UI"/>
          <w:sz w:val="18"/>
          <w:szCs w:val="18"/>
          <w:lang w:val="en-AU" w:eastAsia="en-AU" w:bidi="ar-SA"/>
        </w:rPr>
        <w:t>.</w:t>
      </w:r>
    </w:p>
    <w:p w14:paraId="11DB2915" w14:textId="77777777" w:rsidR="00656FB2" w:rsidRPr="00656FB2" w:rsidRDefault="00656FB2" w:rsidP="003B0975">
      <w:pPr>
        <w:contextualSpacing/>
        <w:rPr>
          <w:rFonts w:cs="Arial"/>
          <w:szCs w:val="22"/>
        </w:rPr>
      </w:pPr>
    </w:p>
    <w:p w14:paraId="1AFB0924" w14:textId="77777777" w:rsidR="00656FB2" w:rsidRPr="00656FB2" w:rsidRDefault="00656FB2" w:rsidP="003B0975">
      <w:pPr>
        <w:ind w:left="709"/>
        <w:contextualSpacing/>
        <w:rPr>
          <w:rFonts w:cs="Arial"/>
          <w:sz w:val="20"/>
          <w:szCs w:val="20"/>
          <w:lang w:val="en-AU" w:eastAsia="en-AU" w:bidi="ar-SA"/>
        </w:rPr>
      </w:pPr>
      <w:bookmarkStart w:id="130" w:name="_Hlk129014095"/>
      <w:r w:rsidRPr="003B0975">
        <w:rPr>
          <w:rFonts w:cs="Arial"/>
          <w:szCs w:val="22"/>
          <w:lang w:val="en-AU" w:eastAsia="en-AU" w:bidi="ar-SA"/>
        </w:rPr>
        <w:t>It should also be noted that the National Library’s Trove online system (</w:t>
      </w:r>
      <w:hyperlink r:id="rId36" w:history="1">
        <w:r w:rsidRPr="003B0975">
          <w:rPr>
            <w:rFonts w:cs="Arial"/>
            <w:color w:val="0000FF"/>
            <w:szCs w:val="22"/>
            <w:u w:val="single"/>
            <w:lang w:val="en-AU" w:eastAsia="en-AU" w:bidi="ar-SA"/>
          </w:rPr>
          <w:t>www.trove.nla.gov.au/</w:t>
        </w:r>
      </w:hyperlink>
      <w:r w:rsidRPr="003B0975">
        <w:rPr>
          <w:rFonts w:cs="Arial"/>
          <w:szCs w:val="22"/>
          <w:lang w:val="en-AU" w:eastAsia="en-AU" w:bidi="ar-SA"/>
        </w:rPr>
        <w:t>) allows users to identify libraries in Australia that are open to the public where editions (in most cases, earlier editions) of the FCC may be viewed. For example, Trove indicates that access to the 1996 edition of the FCC is available at the University of Melbourne Library and the Hawksbury Campus Library of the Western Sydney University, which are both open to the public. Members of the public may also approach any library that participates in inter-library loans with those university libraries to request an inter-library loan, or to obtain a photocopy of a particular part or monograph in the FCC for personal study or research (but not for commercial purposes). Fees apply in relation to the making of such a request. Enquiries should be made with local libraries, State libraries and the National Library</w:t>
      </w:r>
      <w:r w:rsidRPr="00656FB2">
        <w:rPr>
          <w:rFonts w:ascii="Segoe UI" w:hAnsi="Segoe UI" w:cs="Segoe UI"/>
          <w:sz w:val="18"/>
          <w:szCs w:val="18"/>
          <w:lang w:val="en-AU" w:eastAsia="en-AU" w:bidi="ar-SA"/>
        </w:rPr>
        <w:t xml:space="preserve">. </w:t>
      </w:r>
    </w:p>
    <w:bookmarkEnd w:id="130"/>
    <w:p w14:paraId="18045990" w14:textId="77777777" w:rsidR="00F13F47" w:rsidRDefault="00F13F47" w:rsidP="009305AA">
      <w:pPr>
        <w:rPr>
          <w:rFonts w:cs="Arial"/>
          <w:szCs w:val="22"/>
        </w:rPr>
      </w:pPr>
    </w:p>
    <w:p w14:paraId="6C32D49B" w14:textId="77777777" w:rsidR="00456BD5" w:rsidRPr="000576EB" w:rsidRDefault="00941150" w:rsidP="00456BD5">
      <w:pPr>
        <w:rPr>
          <w:b/>
          <w:lang w:val="en-AU" w:eastAsia="en-GB" w:bidi="ar-SA"/>
        </w:rPr>
      </w:pPr>
      <w:r>
        <w:rPr>
          <w:b/>
          <w:lang w:val="en-AU" w:eastAsia="en-GB" w:bidi="ar-SA"/>
        </w:rPr>
        <w:t>5</w:t>
      </w:r>
      <w:r w:rsidR="00456BD5" w:rsidRPr="000576EB">
        <w:rPr>
          <w:b/>
          <w:lang w:val="en-AU" w:eastAsia="en-GB" w:bidi="ar-SA"/>
        </w:rPr>
        <w:t>.</w:t>
      </w:r>
      <w:r w:rsidR="00456BD5" w:rsidRPr="000576EB">
        <w:rPr>
          <w:b/>
          <w:lang w:val="en-AU" w:eastAsia="en-GB" w:bidi="ar-SA"/>
        </w:rPr>
        <w:tab/>
        <w:t>Consultation</w:t>
      </w:r>
    </w:p>
    <w:p w14:paraId="75132602" w14:textId="77777777" w:rsidR="00456BD5" w:rsidRDefault="00456BD5" w:rsidP="00456BD5">
      <w:pPr>
        <w:rPr>
          <w:lang w:val="en-AU" w:eastAsia="en-GB" w:bidi="ar-SA"/>
        </w:rPr>
      </w:pPr>
    </w:p>
    <w:p w14:paraId="5ABFF05F" w14:textId="58ABC452" w:rsidR="00C47919" w:rsidRPr="00DE35DC" w:rsidRDefault="00C47919" w:rsidP="00C47919">
      <w:pPr>
        <w:rPr>
          <w:rFonts w:cs="Arial"/>
          <w:szCs w:val="22"/>
        </w:rPr>
      </w:pPr>
      <w:r w:rsidRPr="00DE35DC">
        <w:rPr>
          <w:rFonts w:cs="Arial"/>
          <w:szCs w:val="22"/>
        </w:rPr>
        <w:t>In accordance with the procedure in Division 2 of Part 3 of the FSANZ Act, the Authority’s consideration of Proposal P1061 included one round of public consultation following an assessment and the preparation of a draft variation and associated assessment summary.</w:t>
      </w:r>
      <w:r w:rsidR="00E01E60" w:rsidRPr="00DE35DC">
        <w:rPr>
          <w:rFonts w:cs="Arial"/>
          <w:szCs w:val="22"/>
        </w:rPr>
        <w:t xml:space="preserve"> Submissions were called for on 30 January 2023 for a five-week consultation period.</w:t>
      </w:r>
      <w:r w:rsidR="00230175" w:rsidRPr="00DE35DC">
        <w:rPr>
          <w:rFonts w:cs="Arial"/>
          <w:szCs w:val="22"/>
        </w:rPr>
        <w:t xml:space="preserve"> </w:t>
      </w:r>
      <w:r w:rsidR="00230175" w:rsidRPr="00066FDD">
        <w:rPr>
          <w:rFonts w:cs="Arial"/>
          <w:szCs w:val="22"/>
        </w:rPr>
        <w:t>Four</w:t>
      </w:r>
      <w:r w:rsidR="00230175" w:rsidRPr="00DE35DC">
        <w:rPr>
          <w:rFonts w:cs="Arial"/>
          <w:szCs w:val="22"/>
        </w:rPr>
        <w:t xml:space="preserve"> submissions were received </w:t>
      </w:r>
      <w:r w:rsidR="00230175" w:rsidRPr="009305AA">
        <w:rPr>
          <w:rFonts w:cs="Arial"/>
          <w:bCs/>
          <w:szCs w:val="22"/>
          <w:lang w:val="en-AU" w:eastAsia="en-GB" w:bidi="ar-SA"/>
        </w:rPr>
        <w:t>in response to the call for public submissions</w:t>
      </w:r>
      <w:r w:rsidR="00230175" w:rsidRPr="00DE35DC">
        <w:rPr>
          <w:rFonts w:cs="Arial"/>
          <w:szCs w:val="22"/>
        </w:rPr>
        <w:t>.</w:t>
      </w:r>
    </w:p>
    <w:p w14:paraId="155B43CD" w14:textId="77777777" w:rsidR="00C47919" w:rsidRPr="00C47919" w:rsidRDefault="00C47919" w:rsidP="00C47919">
      <w:pPr>
        <w:rPr>
          <w:szCs w:val="22"/>
        </w:rPr>
      </w:pPr>
    </w:p>
    <w:p w14:paraId="7AA6038C" w14:textId="7ADB9E3B" w:rsidR="00456BD5" w:rsidRPr="00D06616" w:rsidRDefault="006001CC" w:rsidP="00C47919">
      <w:pPr>
        <w:rPr>
          <w:color w:val="FF0000"/>
          <w:lang w:val="en-AU"/>
        </w:rPr>
      </w:pPr>
      <w:r w:rsidRPr="006001CC">
        <w:rPr>
          <w:szCs w:val="22"/>
        </w:rPr>
        <w:t>The Australian Government’s Office of Impact Analysis, formerly known as the Office of Best Practice Regulation (OBPR), in an email on 22.12.22 (reference ID OBPR22-03854) advised that, on the basis of information provided by FSANZ, Proposal P1061 is unlikely to have a more than minor regulatory impact. As such, the preparation of an Impact Analysis was not required for this Proposal</w:t>
      </w:r>
    </w:p>
    <w:p w14:paraId="19124BF9" w14:textId="77777777" w:rsidR="00456BD5" w:rsidRDefault="00456BD5" w:rsidP="00456BD5">
      <w:pPr>
        <w:rPr>
          <w:color w:val="FF0000"/>
          <w:lang w:val="en-AU" w:eastAsia="en-GB" w:bidi="ar-SA"/>
        </w:rPr>
      </w:pPr>
    </w:p>
    <w:p w14:paraId="6DF9481A" w14:textId="77777777" w:rsidR="00456BD5" w:rsidRDefault="00941150" w:rsidP="00456BD5">
      <w:pPr>
        <w:widowControl/>
        <w:rPr>
          <w:rFonts w:eastAsiaTheme="minorHAnsi" w:cs="Arial"/>
          <w:b/>
          <w:bCs/>
          <w:szCs w:val="22"/>
          <w:lang w:val="en-AU" w:bidi="ar-SA"/>
        </w:rPr>
      </w:pPr>
      <w:r>
        <w:rPr>
          <w:rFonts w:eastAsiaTheme="minorHAnsi" w:cs="Arial"/>
          <w:b/>
          <w:bCs/>
          <w:szCs w:val="22"/>
          <w:lang w:val="en-AU" w:bidi="ar-SA"/>
        </w:rPr>
        <w:t>6</w:t>
      </w:r>
      <w:r w:rsidR="00456BD5">
        <w:rPr>
          <w:rFonts w:eastAsiaTheme="minorHAnsi" w:cs="Arial"/>
          <w:b/>
          <w:bCs/>
          <w:szCs w:val="22"/>
          <w:lang w:val="en-AU" w:bidi="ar-SA"/>
        </w:rPr>
        <w:t>.</w:t>
      </w:r>
      <w:r w:rsidR="00456BD5">
        <w:rPr>
          <w:rFonts w:eastAsiaTheme="minorHAnsi" w:cs="Arial"/>
          <w:b/>
          <w:bCs/>
          <w:szCs w:val="22"/>
          <w:lang w:val="en-AU" w:bidi="ar-SA"/>
        </w:rPr>
        <w:tab/>
        <w:t>Statement of compatibility with human rights</w:t>
      </w:r>
    </w:p>
    <w:p w14:paraId="0F4FF393" w14:textId="77777777" w:rsidR="00456BD5" w:rsidRDefault="00456BD5" w:rsidP="00456BD5">
      <w:pPr>
        <w:rPr>
          <w:rFonts w:eastAsiaTheme="minorHAnsi"/>
          <w:lang w:val="en-AU" w:bidi="ar-SA"/>
        </w:rPr>
      </w:pPr>
    </w:p>
    <w:p w14:paraId="0940180F" w14:textId="767657F0" w:rsidR="00456BD5" w:rsidRDefault="00456BD5" w:rsidP="00456BD5">
      <w:pPr>
        <w:rPr>
          <w:rFonts w:eastAsiaTheme="minorHAnsi"/>
          <w:lang w:val="en-AU" w:bidi="ar-SA"/>
        </w:rPr>
      </w:pPr>
      <w:r>
        <w:rPr>
          <w:rFonts w:eastAsiaTheme="minorHAnsi"/>
          <w:lang w:val="en-AU" w:bidi="ar-SA"/>
        </w:rPr>
        <w:lastRenderedPageBreak/>
        <w:t xml:space="preserve">This instrument is exempt from the requirements for a statement of compatibility with human rights as it is a non-disallowable instrument under section </w:t>
      </w:r>
      <w:r w:rsidR="00941150">
        <w:rPr>
          <w:rFonts w:eastAsiaTheme="minorHAnsi"/>
          <w:lang w:val="en-AU" w:bidi="ar-SA"/>
        </w:rPr>
        <w:t>44</w:t>
      </w:r>
      <w:r>
        <w:rPr>
          <w:rFonts w:eastAsiaTheme="minorHAnsi"/>
          <w:lang w:val="en-AU" w:bidi="ar-SA"/>
        </w:rPr>
        <w:t xml:space="preserve"> of the </w:t>
      </w:r>
      <w:r w:rsidR="00941150" w:rsidRPr="00941150">
        <w:rPr>
          <w:rFonts w:eastAsiaTheme="minorHAnsi"/>
          <w:i/>
          <w:lang w:val="en-AU" w:bidi="ar-SA"/>
        </w:rPr>
        <w:t>Legislation Act 2003</w:t>
      </w:r>
      <w:r>
        <w:rPr>
          <w:rFonts w:eastAsiaTheme="minorHAnsi"/>
          <w:lang w:val="en-AU" w:bidi="ar-SA"/>
        </w:rPr>
        <w:t>.</w:t>
      </w:r>
    </w:p>
    <w:p w14:paraId="351893AA" w14:textId="0AE5B5CE" w:rsidR="00491F50" w:rsidRDefault="00491F50" w:rsidP="00456BD5">
      <w:pPr>
        <w:rPr>
          <w:rFonts w:eastAsiaTheme="minorHAnsi"/>
          <w:lang w:val="en-AU" w:bidi="ar-SA"/>
        </w:rPr>
      </w:pPr>
    </w:p>
    <w:p w14:paraId="27C2932C" w14:textId="77777777" w:rsidR="00456BD5" w:rsidRPr="00432A42" w:rsidRDefault="00941150" w:rsidP="00456BD5">
      <w:pPr>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6E94C916" w14:textId="77777777" w:rsidR="00456BD5" w:rsidRPr="00432A42" w:rsidRDefault="00456BD5" w:rsidP="00456BD5">
      <w:pPr>
        <w:rPr>
          <w:b/>
        </w:rPr>
      </w:pPr>
    </w:p>
    <w:p w14:paraId="64D624F9" w14:textId="77777777" w:rsidR="001C3F4E" w:rsidRPr="001C3F4E" w:rsidRDefault="001C3F4E" w:rsidP="001C3F4E">
      <w:pPr>
        <w:rPr>
          <w:b/>
          <w:bCs/>
          <w:i/>
          <w:iCs/>
        </w:rPr>
      </w:pPr>
      <w:r w:rsidRPr="001C3F4E">
        <w:rPr>
          <w:b/>
          <w:bCs/>
          <w:i/>
          <w:iCs/>
        </w:rPr>
        <w:t>7.1 Reflecting the New Zealand decision re-mandatory fortification of folic acid</w:t>
      </w:r>
    </w:p>
    <w:p w14:paraId="415CA644" w14:textId="77777777" w:rsidR="001C3F4E" w:rsidRDefault="001C3F4E" w:rsidP="001C3F4E"/>
    <w:p w14:paraId="69DCA87B" w14:textId="3F660040" w:rsidR="002B2C5D" w:rsidRDefault="001C3F4E" w:rsidP="001C3F4E">
      <w:r w:rsidRPr="00265AFE">
        <w:t xml:space="preserve">Items [1], [5], and [6] of </w:t>
      </w:r>
      <w:r w:rsidR="00971744" w:rsidRPr="00265AFE">
        <w:t xml:space="preserve">the Schedule to </w:t>
      </w:r>
      <w:r w:rsidRPr="00265AFE">
        <w:t xml:space="preserve">the </w:t>
      </w:r>
      <w:r w:rsidR="001937B0" w:rsidRPr="00265AFE">
        <w:t xml:space="preserve">approved </w:t>
      </w:r>
      <w:r w:rsidRPr="00265AFE">
        <w:t xml:space="preserve">draft variation include amendments </w:t>
      </w:r>
      <w:r w:rsidRPr="004356AF">
        <w:t xml:space="preserve">to reflect the action taken by the New Zealand Government under New Zealand food laws </w:t>
      </w:r>
      <w:r w:rsidR="00265AFE" w:rsidRPr="00265AFE">
        <w:rPr>
          <w:rFonts w:cs="Arial"/>
          <w:szCs w:val="22"/>
        </w:rPr>
        <w:t>to adopt in New Zealand the Code's provisions relating to folic acid fortification</w:t>
      </w:r>
      <w:r w:rsidR="00156364" w:rsidRPr="004356AF">
        <w:t>.</w:t>
      </w:r>
      <w:r w:rsidR="00265AFE" w:rsidRPr="004356AF">
        <w:t xml:space="preserve"> </w:t>
      </w:r>
      <w:r w:rsidR="00265AFE" w:rsidRPr="00265AFE">
        <w:rPr>
          <w:rFonts w:cs="Arial"/>
          <w:szCs w:val="22"/>
        </w:rPr>
        <w:t>These</w:t>
      </w:r>
      <w:r w:rsidR="00265AFE">
        <w:rPr>
          <w:rFonts w:cs="Arial"/>
          <w:szCs w:val="22"/>
        </w:rPr>
        <w:t xml:space="preserve"> provisions</w:t>
      </w:r>
      <w:r w:rsidR="00265AFE" w:rsidRPr="00265AFE">
        <w:rPr>
          <w:rFonts w:cs="Arial"/>
          <w:szCs w:val="22"/>
        </w:rPr>
        <w:t xml:space="preserve"> require the addition of folic acid to wheat flour sold as suitable for making bread to which section 2.1.1—5</w:t>
      </w:r>
      <w:r w:rsidR="00265AFE" w:rsidRPr="00265AFE">
        <w:rPr>
          <w:rFonts w:cs="Arial"/>
          <w:color w:val="0D4A88"/>
          <w:szCs w:val="22"/>
        </w:rPr>
        <w:t> </w:t>
      </w:r>
      <w:r w:rsidR="00265AFE" w:rsidRPr="00265AFE">
        <w:rPr>
          <w:rFonts w:cs="Arial"/>
          <w:szCs w:val="22"/>
        </w:rPr>
        <w:t>of the Code applies</w:t>
      </w:r>
      <w:r w:rsidR="00265AFE" w:rsidRPr="0081318F">
        <w:t>.</w:t>
      </w:r>
      <w:r w:rsidR="009900B3" w:rsidRPr="0081318F">
        <w:t xml:space="preserve"> </w:t>
      </w:r>
      <w:r w:rsidR="00265AFE" w:rsidRPr="0081318F">
        <w:rPr>
          <w:rFonts w:cs="Arial"/>
          <w:szCs w:val="22"/>
        </w:rPr>
        <w:t>Section 2.1.1—4 of the Code provides that section 2.1.1—5 does not apply to certain foods, including bread that is represented as organic.</w:t>
      </w:r>
      <w:r w:rsidR="00265AFE" w:rsidRPr="00407F4A" w:rsidDel="002169FF">
        <w:rPr>
          <w:lang w:val="en-AU"/>
        </w:rPr>
        <w:t xml:space="preserve"> </w:t>
      </w:r>
      <w:r w:rsidR="00265AFE">
        <w:t>These provisions</w:t>
      </w:r>
      <w:r w:rsidR="00156364" w:rsidRPr="005136ED">
        <w:t xml:space="preserve"> will </w:t>
      </w:r>
      <w:r w:rsidR="00265AFE" w:rsidRPr="005136ED">
        <w:t>apply</w:t>
      </w:r>
      <w:r w:rsidR="009900B3" w:rsidRPr="005136ED">
        <w:t xml:space="preserve"> </w:t>
      </w:r>
      <w:r w:rsidR="00156364" w:rsidRPr="005136ED">
        <w:t xml:space="preserve">in New Zealand </w:t>
      </w:r>
      <w:r w:rsidR="009900B3" w:rsidRPr="005136ED">
        <w:t>from 13 August 2023</w:t>
      </w:r>
      <w:r w:rsidR="00DE35DC" w:rsidRPr="00265AFE">
        <w:rPr>
          <w:lang w:val="en-AU" w:eastAsia="en-GB" w:bidi="ar-SA"/>
        </w:rPr>
        <w:t>.</w:t>
      </w:r>
    </w:p>
    <w:p w14:paraId="4A8D855B" w14:textId="77777777" w:rsidR="002B2C5D" w:rsidRDefault="002B2C5D" w:rsidP="001C3F4E"/>
    <w:p w14:paraId="5CF3437B" w14:textId="4993F493" w:rsidR="00456BD5" w:rsidRDefault="001C3F4E" w:rsidP="001C3F4E">
      <w:r>
        <w:t>In order to reflect this change</w:t>
      </w:r>
      <w:r w:rsidR="00265AFE">
        <w:t xml:space="preserve"> to New Zealand food law</w:t>
      </w:r>
      <w:r>
        <w:t xml:space="preserve">, amendment of Note 1 to section 1.1.1—3 of the Code and removal of the Note to section 2.1.1—5 of the Code are required. A new Note </w:t>
      </w:r>
      <w:r w:rsidR="00E1461E">
        <w:t>is</w:t>
      </w:r>
      <w:r>
        <w:t xml:space="preserve"> also added at the end of paragraph 2.1.1—5(b). This paragraph contains the requirement related to </w:t>
      </w:r>
      <w:proofErr w:type="spellStart"/>
      <w:r>
        <w:t>thiamin</w:t>
      </w:r>
      <w:proofErr w:type="spellEnd"/>
      <w:r>
        <w:t xml:space="preserve"> and the new Note </w:t>
      </w:r>
      <w:r w:rsidR="00E1461E">
        <w:t xml:space="preserve">clarifies </w:t>
      </w:r>
      <w:r w:rsidR="00E036E2" w:rsidRPr="00E036E2">
        <w:t xml:space="preserve">that </w:t>
      </w:r>
      <w:r w:rsidR="00546BC6" w:rsidRPr="00546BC6">
        <w:t>th</w:t>
      </w:r>
      <w:r w:rsidR="00BE65B9">
        <w:t>is</w:t>
      </w:r>
      <w:r w:rsidR="00546BC6" w:rsidRPr="00546BC6">
        <w:t xml:space="preserve"> requirement applies </w:t>
      </w:r>
      <w:r w:rsidR="00E1461E">
        <w:t>in</w:t>
      </w:r>
      <w:r w:rsidR="00546BC6" w:rsidRPr="00546BC6">
        <w:t xml:space="preserve"> </w:t>
      </w:r>
      <w:r w:rsidR="00E036E2" w:rsidRPr="00E036E2">
        <w:t>Australia only.</w:t>
      </w:r>
    </w:p>
    <w:p w14:paraId="35A3476A" w14:textId="53F76B53" w:rsidR="00E036E2" w:rsidRDefault="00E036E2" w:rsidP="001C3F4E"/>
    <w:p w14:paraId="32B549C8" w14:textId="77777777" w:rsidR="00C9378A" w:rsidRPr="00C9378A" w:rsidRDefault="00C9378A" w:rsidP="00C9378A">
      <w:pPr>
        <w:rPr>
          <w:b/>
          <w:bCs/>
          <w:i/>
          <w:iCs/>
        </w:rPr>
      </w:pPr>
      <w:r w:rsidRPr="00C9378A">
        <w:rPr>
          <w:b/>
          <w:bCs/>
          <w:i/>
          <w:iCs/>
        </w:rPr>
        <w:t>7.2 Correcting typographical errors, omissions, inconsistencies and formatting</w:t>
      </w:r>
    </w:p>
    <w:p w14:paraId="1ED52416" w14:textId="77777777" w:rsidR="00C9378A" w:rsidRDefault="00C9378A" w:rsidP="00C9378A"/>
    <w:p w14:paraId="55DD235F" w14:textId="1233E4CD" w:rsidR="00E036E2" w:rsidRDefault="00C9378A" w:rsidP="00C9378A">
      <w:r>
        <w:t xml:space="preserve">Items [4], [8], [9], [11], [15], and [19] – [58] of </w:t>
      </w:r>
      <w:r w:rsidR="00971744">
        <w:t xml:space="preserve">the Schedule to </w:t>
      </w:r>
      <w:r>
        <w:t xml:space="preserve">the </w:t>
      </w:r>
      <w:r w:rsidR="001937B0">
        <w:t xml:space="preserve">approved </w:t>
      </w:r>
      <w:r>
        <w:t>draft variation include amendments to correct typographical errors, omissions, and formatting issues; and to improve consistency across the Code.</w:t>
      </w:r>
    </w:p>
    <w:p w14:paraId="1AF081BC" w14:textId="77777777" w:rsidR="00456BD5" w:rsidRDefault="00456BD5" w:rsidP="00456BD5"/>
    <w:p w14:paraId="75C2BE39" w14:textId="77777777" w:rsidR="00C063C5" w:rsidRPr="00C063C5" w:rsidRDefault="00C063C5" w:rsidP="00C063C5">
      <w:pPr>
        <w:widowControl/>
        <w:autoSpaceDE w:val="0"/>
        <w:autoSpaceDN w:val="0"/>
        <w:adjustRightInd w:val="0"/>
        <w:rPr>
          <w:rFonts w:cs="Arial"/>
          <w:color w:val="000000"/>
          <w:szCs w:val="22"/>
          <w:lang w:val="en-AU" w:eastAsia="en-GB" w:bidi="ar-SA"/>
        </w:rPr>
      </w:pPr>
      <w:r w:rsidRPr="00C063C5">
        <w:rPr>
          <w:rFonts w:cs="Arial"/>
          <w:b/>
          <w:bCs/>
          <w:i/>
          <w:iCs/>
          <w:color w:val="000000"/>
          <w:szCs w:val="22"/>
          <w:lang w:val="en-AU" w:eastAsia="en-GB" w:bidi="ar-SA"/>
        </w:rPr>
        <w:t xml:space="preserve">7.3 Removing outdated clause </w:t>
      </w:r>
    </w:p>
    <w:p w14:paraId="69E71DC6" w14:textId="77777777" w:rsidR="00C063C5" w:rsidRDefault="00C063C5" w:rsidP="00C063C5">
      <w:pPr>
        <w:rPr>
          <w:rFonts w:cs="Arial"/>
          <w:color w:val="000000"/>
          <w:szCs w:val="22"/>
          <w:lang w:val="en-AU" w:eastAsia="en-GB" w:bidi="ar-SA"/>
        </w:rPr>
      </w:pPr>
    </w:p>
    <w:p w14:paraId="17ADD833" w14:textId="3A2BDB72" w:rsidR="00456BD5" w:rsidRDefault="00C063C5" w:rsidP="00C063C5">
      <w:pPr>
        <w:rPr>
          <w:rFonts w:cs="Arial"/>
          <w:color w:val="000000"/>
          <w:szCs w:val="22"/>
          <w:lang w:val="en-AU" w:eastAsia="en-GB" w:bidi="ar-SA"/>
        </w:rPr>
      </w:pPr>
      <w:r w:rsidRPr="00C063C5">
        <w:rPr>
          <w:rFonts w:cs="Arial"/>
          <w:color w:val="000000"/>
          <w:szCs w:val="22"/>
          <w:lang w:val="en-AU" w:eastAsia="en-GB" w:bidi="ar-SA"/>
        </w:rPr>
        <w:t xml:space="preserve">Item [10] of </w:t>
      </w:r>
      <w:r w:rsidR="00CD0EA7">
        <w:rPr>
          <w:rFonts w:cs="Arial"/>
          <w:color w:val="000000"/>
          <w:szCs w:val="22"/>
          <w:lang w:val="en-AU" w:eastAsia="en-GB" w:bidi="ar-SA"/>
        </w:rPr>
        <w:t xml:space="preserve">the Schedule to </w:t>
      </w:r>
      <w:r w:rsidRPr="00C063C5">
        <w:rPr>
          <w:rFonts w:cs="Arial"/>
          <w:color w:val="000000"/>
          <w:szCs w:val="22"/>
          <w:lang w:val="en-AU" w:eastAsia="en-GB" w:bidi="ar-SA"/>
        </w:rPr>
        <w:t xml:space="preserve">the </w:t>
      </w:r>
      <w:r w:rsidR="00BF33EB">
        <w:rPr>
          <w:rFonts w:cs="Arial"/>
          <w:color w:val="000000"/>
          <w:szCs w:val="22"/>
          <w:lang w:val="en-AU" w:eastAsia="en-GB" w:bidi="ar-SA"/>
        </w:rPr>
        <w:t xml:space="preserve">approved </w:t>
      </w:r>
      <w:r w:rsidRPr="00C063C5">
        <w:rPr>
          <w:rFonts w:cs="Arial"/>
          <w:color w:val="000000"/>
          <w:szCs w:val="22"/>
          <w:lang w:val="en-AU" w:eastAsia="en-GB" w:bidi="ar-SA"/>
        </w:rPr>
        <w:t>draft variation includes an amendment to remove an outdated clause, which only applied to food businesses that existed at the time of the commencement of the clause. Due to the passage of time, the clause is no longer operative.</w:t>
      </w:r>
    </w:p>
    <w:p w14:paraId="37F7CFA2" w14:textId="38E550FE" w:rsidR="00C063C5" w:rsidRDefault="00C063C5" w:rsidP="00C063C5">
      <w:pPr>
        <w:rPr>
          <w:rFonts w:cs="Arial"/>
          <w:color w:val="000000"/>
          <w:szCs w:val="22"/>
          <w:lang w:val="en-AU" w:eastAsia="en-GB" w:bidi="ar-SA"/>
        </w:rPr>
      </w:pPr>
    </w:p>
    <w:p w14:paraId="139214C3" w14:textId="07FD45C0" w:rsidR="00680B99" w:rsidRDefault="00680B99" w:rsidP="00680B99">
      <w:pPr>
        <w:widowControl/>
        <w:autoSpaceDE w:val="0"/>
        <w:autoSpaceDN w:val="0"/>
        <w:adjustRightInd w:val="0"/>
        <w:rPr>
          <w:rFonts w:cs="Arial"/>
          <w:b/>
          <w:bCs/>
          <w:i/>
          <w:iCs/>
          <w:color w:val="000000"/>
          <w:szCs w:val="22"/>
          <w:lang w:val="en-AU" w:eastAsia="en-GB" w:bidi="ar-SA"/>
        </w:rPr>
      </w:pPr>
      <w:r w:rsidRPr="00680B99">
        <w:rPr>
          <w:rFonts w:cs="Arial"/>
          <w:b/>
          <w:bCs/>
          <w:i/>
          <w:iCs/>
          <w:color w:val="000000"/>
          <w:szCs w:val="22"/>
          <w:lang w:val="en-AU" w:eastAsia="en-GB" w:bidi="ar-SA"/>
        </w:rPr>
        <w:t xml:space="preserve">7.4 Updating references </w:t>
      </w:r>
    </w:p>
    <w:p w14:paraId="1A6980F0" w14:textId="77777777" w:rsidR="00680B99" w:rsidRPr="00680B99" w:rsidRDefault="00680B99" w:rsidP="00680B99">
      <w:pPr>
        <w:widowControl/>
        <w:autoSpaceDE w:val="0"/>
        <w:autoSpaceDN w:val="0"/>
        <w:adjustRightInd w:val="0"/>
        <w:rPr>
          <w:rFonts w:cs="Arial"/>
          <w:color w:val="000000"/>
          <w:szCs w:val="22"/>
          <w:lang w:val="en-AU" w:eastAsia="en-GB" w:bidi="ar-SA"/>
        </w:rPr>
      </w:pPr>
    </w:p>
    <w:p w14:paraId="506103A1" w14:textId="384ADB9D" w:rsidR="00C063C5" w:rsidRDefault="00680B99" w:rsidP="00680B99">
      <w:pPr>
        <w:rPr>
          <w:lang w:val="en-AU" w:eastAsia="en-GB" w:bidi="ar-SA"/>
        </w:rPr>
      </w:pPr>
      <w:r w:rsidRPr="00680B99">
        <w:rPr>
          <w:rFonts w:cs="Arial"/>
          <w:color w:val="000000"/>
          <w:szCs w:val="22"/>
          <w:lang w:val="en-AU" w:eastAsia="en-GB" w:bidi="ar-SA"/>
        </w:rPr>
        <w:t xml:space="preserve">Items [2], [3], [7], [12] - [14], and [16] – [18] of </w:t>
      </w:r>
      <w:r w:rsidR="00BF33EB">
        <w:rPr>
          <w:rFonts w:cs="Arial"/>
          <w:color w:val="000000"/>
          <w:szCs w:val="22"/>
          <w:lang w:val="en-AU" w:eastAsia="en-GB" w:bidi="ar-SA"/>
        </w:rPr>
        <w:t xml:space="preserve">the Schedule to </w:t>
      </w:r>
      <w:r w:rsidRPr="00680B99">
        <w:rPr>
          <w:rFonts w:cs="Arial"/>
          <w:color w:val="000000"/>
          <w:szCs w:val="22"/>
          <w:lang w:val="en-AU" w:eastAsia="en-GB" w:bidi="ar-SA"/>
        </w:rPr>
        <w:t xml:space="preserve">the </w:t>
      </w:r>
      <w:r w:rsidR="00BF33EB">
        <w:rPr>
          <w:rFonts w:cs="Arial"/>
          <w:color w:val="000000"/>
          <w:szCs w:val="22"/>
          <w:lang w:val="en-AU" w:eastAsia="en-GB" w:bidi="ar-SA"/>
        </w:rPr>
        <w:t xml:space="preserve">approved </w:t>
      </w:r>
      <w:r w:rsidRPr="00680B99">
        <w:rPr>
          <w:rFonts w:cs="Arial"/>
          <w:color w:val="000000"/>
          <w:szCs w:val="22"/>
          <w:lang w:val="en-AU" w:eastAsia="en-GB" w:bidi="ar-SA"/>
        </w:rPr>
        <w:t>draft variation include amendments to update references in the Code.</w:t>
      </w:r>
    </w:p>
    <w:p w14:paraId="034BDA46" w14:textId="77777777" w:rsidR="00456BD5" w:rsidRDefault="00456BD5" w:rsidP="00456BD5">
      <w:pPr>
        <w:pStyle w:val="Heading2"/>
      </w:pPr>
      <w:r>
        <w:br w:type="page"/>
      </w:r>
    </w:p>
    <w:p w14:paraId="2249F95C" w14:textId="54E1DCE2" w:rsidR="00530B67" w:rsidRDefault="003C4969" w:rsidP="004A3B5D">
      <w:pPr>
        <w:pStyle w:val="Heading2"/>
        <w:ind w:left="0" w:firstLine="0"/>
      </w:pPr>
      <w:bookmarkStart w:id="131" w:name="_Toc134451287"/>
      <w:r w:rsidRPr="00BC3899">
        <w:lastRenderedPageBreak/>
        <w:t xml:space="preserve">Attachment </w:t>
      </w:r>
      <w:bookmarkStart w:id="132" w:name="_Toc11735637"/>
      <w:bookmarkStart w:id="133" w:name="_Toc29883122"/>
      <w:bookmarkStart w:id="134" w:name="_Toc41906809"/>
      <w:bookmarkStart w:id="135" w:name="_Toc41907556"/>
      <w:bookmarkStart w:id="136" w:name="_Toc120358587"/>
      <w:bookmarkStart w:id="137" w:name="_Toc175381446"/>
      <w:bookmarkStart w:id="138" w:name="_Toc175381454"/>
      <w:bookmarkEnd w:id="105"/>
      <w:bookmarkEnd w:id="106"/>
      <w:r w:rsidR="007D0189" w:rsidRPr="00BC3899">
        <w:t>C</w:t>
      </w:r>
      <w:r w:rsidR="00486C66" w:rsidRPr="00BC3899">
        <w:t xml:space="preserve"> – </w:t>
      </w:r>
      <w:r w:rsidR="00795D86" w:rsidRPr="00BC3899">
        <w:t xml:space="preserve">Draft variation to the </w:t>
      </w:r>
      <w:r w:rsidR="00795D86" w:rsidRPr="00BC3899">
        <w:rPr>
          <w:i/>
        </w:rPr>
        <w:t>Australia New Zealand Food Standards Code</w:t>
      </w:r>
      <w:r w:rsidR="00E47D3B" w:rsidRPr="00BC3899">
        <w:rPr>
          <w:i/>
        </w:rPr>
        <w:t xml:space="preserve"> </w:t>
      </w:r>
      <w:r w:rsidR="00E47D3B" w:rsidRPr="00BC3899">
        <w:t>(call for submissions)</w:t>
      </w:r>
      <w:bookmarkEnd w:id="131"/>
      <w:r w:rsidR="00530B67">
        <w:t xml:space="preserve"> </w:t>
      </w:r>
    </w:p>
    <w:p w14:paraId="77E3BE76" w14:textId="77777777" w:rsidR="00CC6FD7" w:rsidRPr="00530B67" w:rsidRDefault="00CC6FD7" w:rsidP="00CC6FD7">
      <w:pPr>
        <w:rPr>
          <w:lang w:bidi="ar-SA"/>
        </w:rPr>
      </w:pPr>
    </w:p>
    <w:p w14:paraId="0AF00B60" w14:textId="77777777" w:rsidR="00530B67" w:rsidRPr="00530B67" w:rsidRDefault="00530B67" w:rsidP="00530B67">
      <w:pPr>
        <w:tabs>
          <w:tab w:val="left" w:pos="851"/>
        </w:tabs>
        <w:rPr>
          <w:noProof/>
          <w:sz w:val="20"/>
          <w:szCs w:val="20"/>
          <w:lang w:val="en-AU" w:eastAsia="en-AU" w:bidi="ar-SA"/>
        </w:rPr>
      </w:pPr>
      <w:r w:rsidRPr="00530B67">
        <w:rPr>
          <w:noProof/>
          <w:color w:val="2B579A"/>
          <w:sz w:val="20"/>
          <w:szCs w:val="20"/>
          <w:shd w:val="clear" w:color="auto" w:fill="E6E6E6"/>
          <w:lang w:val="en-AU" w:eastAsia="en-AU" w:bidi="ar-SA"/>
        </w:rPr>
        <w:drawing>
          <wp:inline distT="0" distB="0" distL="0" distR="0" wp14:anchorId="54D51C1C" wp14:editId="0EA44F64">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5F12A42" w14:textId="77777777" w:rsidR="00530B67" w:rsidRPr="00530B67" w:rsidRDefault="00530B67" w:rsidP="00530B67">
      <w:pPr>
        <w:pBdr>
          <w:bottom w:val="single" w:sz="4" w:space="1" w:color="auto"/>
        </w:pBdr>
        <w:tabs>
          <w:tab w:val="left" w:pos="851"/>
        </w:tabs>
        <w:rPr>
          <w:b/>
          <w:bCs/>
          <w:szCs w:val="20"/>
          <w:lang w:bidi="ar-SA"/>
        </w:rPr>
      </w:pPr>
    </w:p>
    <w:p w14:paraId="7FEEEB48" w14:textId="77777777" w:rsidR="00530B67" w:rsidRPr="00530B67" w:rsidRDefault="00530B67" w:rsidP="00530B67">
      <w:pPr>
        <w:pBdr>
          <w:bottom w:val="single" w:sz="4" w:space="1" w:color="auto"/>
        </w:pBdr>
        <w:tabs>
          <w:tab w:val="left" w:pos="851"/>
        </w:tabs>
        <w:rPr>
          <w:b/>
          <w:sz w:val="20"/>
          <w:szCs w:val="20"/>
          <w:lang w:bidi="ar-SA"/>
        </w:rPr>
      </w:pPr>
      <w:r w:rsidRPr="00530B67">
        <w:rPr>
          <w:b/>
          <w:sz w:val="20"/>
          <w:szCs w:val="20"/>
          <w:lang w:bidi="ar-SA"/>
        </w:rPr>
        <w:t>Food Standards (Proposal P1061– Code Revision (2023)) Variation</w:t>
      </w:r>
    </w:p>
    <w:p w14:paraId="0BC52A09" w14:textId="77777777" w:rsidR="00530B67" w:rsidRPr="00530B67" w:rsidRDefault="00530B67" w:rsidP="00530B67">
      <w:pPr>
        <w:pBdr>
          <w:bottom w:val="single" w:sz="4" w:space="1" w:color="auto"/>
        </w:pBdr>
        <w:tabs>
          <w:tab w:val="left" w:pos="851"/>
        </w:tabs>
        <w:rPr>
          <w:b/>
          <w:sz w:val="20"/>
          <w:szCs w:val="20"/>
          <w:lang w:bidi="ar-SA"/>
        </w:rPr>
      </w:pPr>
    </w:p>
    <w:p w14:paraId="25EA5EEF" w14:textId="77777777" w:rsidR="00530B67" w:rsidRPr="00530B67" w:rsidRDefault="00530B67" w:rsidP="00530B67">
      <w:pPr>
        <w:tabs>
          <w:tab w:val="left" w:pos="851"/>
        </w:tabs>
        <w:rPr>
          <w:sz w:val="20"/>
          <w:szCs w:val="20"/>
          <w:lang w:bidi="ar-SA"/>
        </w:rPr>
      </w:pPr>
    </w:p>
    <w:p w14:paraId="2B48AB20" w14:textId="77777777" w:rsidR="00530B67" w:rsidRPr="00530B67" w:rsidRDefault="00530B67" w:rsidP="00530B67">
      <w:pPr>
        <w:tabs>
          <w:tab w:val="left" w:pos="851"/>
        </w:tabs>
        <w:rPr>
          <w:sz w:val="20"/>
          <w:szCs w:val="20"/>
          <w:lang w:bidi="ar-SA"/>
        </w:rPr>
      </w:pPr>
      <w:r w:rsidRPr="00530B67">
        <w:rPr>
          <w:sz w:val="20"/>
          <w:szCs w:val="20"/>
          <w:lang w:bidi="ar-SA"/>
        </w:rPr>
        <w:t xml:space="preserve">The Board of Food Standards Australia New Zealand gives notice of the making of this variation under section 92 of the </w:t>
      </w:r>
      <w:r w:rsidRPr="00530B67">
        <w:rPr>
          <w:i/>
          <w:sz w:val="20"/>
          <w:szCs w:val="20"/>
          <w:lang w:bidi="ar-SA"/>
        </w:rPr>
        <w:t>Food Standards Australia New Zealand Act 1991</w:t>
      </w:r>
      <w:r w:rsidRPr="00530B67">
        <w:rPr>
          <w:sz w:val="20"/>
          <w:szCs w:val="20"/>
          <w:lang w:bidi="ar-SA"/>
        </w:rPr>
        <w:t>.  The variation commences on the date specified in clause 3 of this variation.</w:t>
      </w:r>
    </w:p>
    <w:p w14:paraId="1DD9BC39" w14:textId="77777777" w:rsidR="00530B67" w:rsidRPr="00530B67" w:rsidRDefault="00530B67" w:rsidP="00530B67">
      <w:pPr>
        <w:tabs>
          <w:tab w:val="left" w:pos="851"/>
        </w:tabs>
        <w:rPr>
          <w:sz w:val="20"/>
          <w:szCs w:val="20"/>
          <w:lang w:bidi="ar-SA"/>
        </w:rPr>
      </w:pPr>
    </w:p>
    <w:p w14:paraId="4516A921" w14:textId="77777777" w:rsidR="00530B67" w:rsidRPr="00530B67" w:rsidRDefault="00530B67" w:rsidP="00530B67">
      <w:pPr>
        <w:tabs>
          <w:tab w:val="left" w:pos="851"/>
        </w:tabs>
        <w:rPr>
          <w:sz w:val="20"/>
          <w:szCs w:val="20"/>
          <w:lang w:bidi="ar-SA"/>
        </w:rPr>
      </w:pPr>
      <w:r w:rsidRPr="00530B67">
        <w:rPr>
          <w:sz w:val="20"/>
          <w:szCs w:val="20"/>
          <w:lang w:bidi="ar-SA"/>
        </w:rPr>
        <w:t xml:space="preserve">Dated </w:t>
      </w:r>
      <w:r w:rsidRPr="00530B67">
        <w:rPr>
          <w:color w:val="FF0000"/>
          <w:sz w:val="20"/>
          <w:szCs w:val="20"/>
          <w:lang w:bidi="ar-SA"/>
        </w:rPr>
        <w:t>[To be completed by Delegate]</w:t>
      </w:r>
    </w:p>
    <w:p w14:paraId="11632956" w14:textId="77777777" w:rsidR="00530B67" w:rsidRPr="00530B67" w:rsidRDefault="00530B67" w:rsidP="00530B67">
      <w:pPr>
        <w:tabs>
          <w:tab w:val="left" w:pos="851"/>
        </w:tabs>
        <w:rPr>
          <w:sz w:val="20"/>
          <w:szCs w:val="20"/>
          <w:lang w:bidi="ar-SA"/>
        </w:rPr>
      </w:pPr>
    </w:p>
    <w:p w14:paraId="2435939F" w14:textId="77777777" w:rsidR="00530B67" w:rsidRPr="00530B67" w:rsidRDefault="00530B67" w:rsidP="00530B67">
      <w:pPr>
        <w:tabs>
          <w:tab w:val="left" w:pos="851"/>
        </w:tabs>
        <w:rPr>
          <w:sz w:val="20"/>
          <w:szCs w:val="20"/>
          <w:lang w:bidi="ar-SA"/>
        </w:rPr>
      </w:pPr>
    </w:p>
    <w:p w14:paraId="366D0A43" w14:textId="77777777" w:rsidR="00530B67" w:rsidRPr="00530B67" w:rsidRDefault="00530B67" w:rsidP="00530B67">
      <w:pPr>
        <w:tabs>
          <w:tab w:val="left" w:pos="851"/>
        </w:tabs>
        <w:rPr>
          <w:sz w:val="20"/>
          <w:szCs w:val="20"/>
          <w:lang w:bidi="ar-SA"/>
        </w:rPr>
      </w:pPr>
    </w:p>
    <w:p w14:paraId="102F7B78" w14:textId="77777777" w:rsidR="00530B67" w:rsidRPr="00530B67" w:rsidRDefault="00530B67" w:rsidP="00530B67">
      <w:pPr>
        <w:tabs>
          <w:tab w:val="left" w:pos="851"/>
        </w:tabs>
        <w:rPr>
          <w:sz w:val="20"/>
          <w:szCs w:val="20"/>
          <w:lang w:bidi="ar-SA"/>
        </w:rPr>
      </w:pPr>
    </w:p>
    <w:p w14:paraId="08A056E1" w14:textId="77777777" w:rsidR="00530B67" w:rsidRPr="00530B67" w:rsidRDefault="00530B67" w:rsidP="00530B67">
      <w:pPr>
        <w:tabs>
          <w:tab w:val="left" w:pos="851"/>
        </w:tabs>
        <w:rPr>
          <w:sz w:val="20"/>
          <w:szCs w:val="20"/>
          <w:lang w:bidi="ar-SA"/>
        </w:rPr>
      </w:pPr>
    </w:p>
    <w:p w14:paraId="0A31B6A1" w14:textId="77777777" w:rsidR="00530B67" w:rsidRPr="00530B67" w:rsidRDefault="00530B67" w:rsidP="00530B67">
      <w:pPr>
        <w:tabs>
          <w:tab w:val="left" w:pos="851"/>
        </w:tabs>
        <w:rPr>
          <w:color w:val="FF0000"/>
          <w:sz w:val="20"/>
          <w:szCs w:val="20"/>
          <w:lang w:bidi="ar-SA"/>
        </w:rPr>
      </w:pPr>
      <w:r w:rsidRPr="00530B67">
        <w:rPr>
          <w:color w:val="FF0000"/>
          <w:sz w:val="20"/>
          <w:szCs w:val="20"/>
          <w:lang w:bidi="ar-SA"/>
        </w:rPr>
        <w:t>[Insert name of Delegate]</w:t>
      </w:r>
    </w:p>
    <w:p w14:paraId="3037FD81" w14:textId="77777777" w:rsidR="00530B67" w:rsidRPr="00530B67" w:rsidRDefault="00530B67" w:rsidP="00530B67">
      <w:pPr>
        <w:tabs>
          <w:tab w:val="left" w:pos="851"/>
        </w:tabs>
        <w:rPr>
          <w:sz w:val="20"/>
          <w:szCs w:val="20"/>
          <w:lang w:bidi="ar-SA"/>
        </w:rPr>
      </w:pPr>
      <w:r w:rsidRPr="00530B67">
        <w:rPr>
          <w:sz w:val="20"/>
          <w:szCs w:val="20"/>
          <w:lang w:bidi="ar-SA"/>
        </w:rPr>
        <w:t>Delegate of the Board of Food Standards Australia New Zealand</w:t>
      </w:r>
    </w:p>
    <w:p w14:paraId="6F050E7C" w14:textId="77777777" w:rsidR="00530B67" w:rsidRPr="00530B67" w:rsidRDefault="00530B67" w:rsidP="00530B67">
      <w:pPr>
        <w:tabs>
          <w:tab w:val="left" w:pos="851"/>
        </w:tabs>
        <w:rPr>
          <w:sz w:val="20"/>
          <w:szCs w:val="20"/>
          <w:lang w:bidi="ar-SA"/>
        </w:rPr>
      </w:pPr>
    </w:p>
    <w:p w14:paraId="300995F9" w14:textId="77777777" w:rsidR="00530B67" w:rsidRPr="00530B67" w:rsidRDefault="00530B67" w:rsidP="00530B67">
      <w:pPr>
        <w:tabs>
          <w:tab w:val="left" w:pos="851"/>
        </w:tabs>
        <w:rPr>
          <w:sz w:val="20"/>
          <w:szCs w:val="20"/>
          <w:lang w:bidi="ar-SA"/>
        </w:rPr>
      </w:pPr>
    </w:p>
    <w:p w14:paraId="7ACB2CB9" w14:textId="77777777" w:rsidR="00530B67" w:rsidRPr="00530B67" w:rsidRDefault="00530B67" w:rsidP="00530B67">
      <w:pPr>
        <w:tabs>
          <w:tab w:val="left" w:pos="851"/>
        </w:tabs>
        <w:rPr>
          <w:sz w:val="20"/>
          <w:szCs w:val="20"/>
          <w:lang w:bidi="ar-SA"/>
        </w:rPr>
      </w:pPr>
    </w:p>
    <w:p w14:paraId="5F7FA90B" w14:textId="77777777" w:rsidR="00530B67" w:rsidRPr="00530B67" w:rsidRDefault="00530B67" w:rsidP="00530B67">
      <w:pPr>
        <w:tabs>
          <w:tab w:val="left" w:pos="851"/>
        </w:tabs>
        <w:rPr>
          <w:sz w:val="20"/>
          <w:szCs w:val="20"/>
          <w:lang w:bidi="ar-SA"/>
        </w:rPr>
      </w:pPr>
    </w:p>
    <w:p w14:paraId="3F85044E" w14:textId="77777777" w:rsidR="00530B67" w:rsidRPr="00530B67" w:rsidRDefault="00530B67" w:rsidP="00530B67">
      <w:pPr>
        <w:tabs>
          <w:tab w:val="left" w:pos="851"/>
        </w:tabs>
        <w:rPr>
          <w:sz w:val="20"/>
          <w:szCs w:val="20"/>
          <w:lang w:bidi="ar-SA"/>
        </w:rPr>
      </w:pPr>
    </w:p>
    <w:p w14:paraId="6D030118" w14:textId="77777777" w:rsidR="00530B67" w:rsidRPr="00530B67" w:rsidRDefault="00530B67" w:rsidP="00530B67">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30B67">
        <w:rPr>
          <w:b/>
          <w:sz w:val="20"/>
          <w:szCs w:val="20"/>
          <w:lang w:val="en-AU" w:bidi="ar-SA"/>
        </w:rPr>
        <w:t xml:space="preserve">Note:  </w:t>
      </w:r>
    </w:p>
    <w:p w14:paraId="274DF0FA" w14:textId="77777777" w:rsidR="00530B67" w:rsidRPr="00530B67" w:rsidRDefault="00530B67" w:rsidP="00530B67">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4227904" w14:textId="77777777" w:rsidR="00530B67" w:rsidRPr="00530B67" w:rsidRDefault="00530B67" w:rsidP="00530B67">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30B67">
        <w:rPr>
          <w:sz w:val="20"/>
          <w:szCs w:val="20"/>
          <w:lang w:val="en-AU" w:bidi="ar-SA"/>
        </w:rPr>
        <w:t xml:space="preserve">This variation will be published in the Commonwealth of Australia Gazette No. FSC </w:t>
      </w:r>
      <w:r w:rsidRPr="00530B67">
        <w:rPr>
          <w:color w:val="FF0000"/>
          <w:sz w:val="20"/>
          <w:szCs w:val="20"/>
          <w:lang w:val="en-AU" w:bidi="ar-SA"/>
        </w:rPr>
        <w:t>XX on XX Month 20XX</w:t>
      </w:r>
      <w:r w:rsidRPr="00530B67">
        <w:rPr>
          <w:sz w:val="20"/>
          <w:szCs w:val="20"/>
          <w:lang w:val="en-AU" w:bidi="ar-SA"/>
        </w:rPr>
        <w:t xml:space="preserve">. This means that this date is the gazettal date for the purposes of clause 3 of the variation. </w:t>
      </w:r>
    </w:p>
    <w:p w14:paraId="69897241" w14:textId="77777777" w:rsidR="00530B67" w:rsidRPr="00530B67" w:rsidRDefault="00530B67" w:rsidP="00530B67">
      <w:pPr>
        <w:tabs>
          <w:tab w:val="left" w:pos="851"/>
        </w:tabs>
        <w:rPr>
          <w:sz w:val="20"/>
          <w:szCs w:val="20"/>
          <w:lang w:bidi="ar-SA"/>
        </w:rPr>
      </w:pPr>
    </w:p>
    <w:p w14:paraId="58F125B7" w14:textId="77777777" w:rsidR="00530B67" w:rsidRPr="00530B67" w:rsidRDefault="00530B67" w:rsidP="00530B67">
      <w:pPr>
        <w:widowControl/>
        <w:rPr>
          <w:sz w:val="20"/>
          <w:szCs w:val="20"/>
          <w:lang w:bidi="ar-SA"/>
        </w:rPr>
      </w:pPr>
      <w:r w:rsidRPr="00530B67">
        <w:rPr>
          <w:sz w:val="20"/>
          <w:szCs w:val="20"/>
          <w:lang w:bidi="ar-SA"/>
        </w:rPr>
        <w:br w:type="page"/>
      </w:r>
    </w:p>
    <w:p w14:paraId="3640D238" w14:textId="77777777" w:rsidR="00530B67" w:rsidRPr="00530B67" w:rsidRDefault="00530B67" w:rsidP="00513539">
      <w:pPr>
        <w:pStyle w:val="FSCDraftingitemheading"/>
      </w:pPr>
      <w:r w:rsidRPr="00530B67">
        <w:lastRenderedPageBreak/>
        <w:t>1</w:t>
      </w:r>
      <w:r w:rsidRPr="00530B67">
        <w:tab/>
        <w:t>Name</w:t>
      </w:r>
    </w:p>
    <w:p w14:paraId="6FCD8808" w14:textId="77777777" w:rsidR="00530B67" w:rsidRPr="00530B67" w:rsidRDefault="00530B67" w:rsidP="00513539">
      <w:pPr>
        <w:pStyle w:val="FSCDraftingitem"/>
      </w:pPr>
      <w:r w:rsidRPr="00530B67">
        <w:t xml:space="preserve">This instrument is the </w:t>
      </w:r>
      <w:r w:rsidRPr="00513539">
        <w:rPr>
          <w:i/>
          <w:iCs/>
        </w:rPr>
        <w:t>Food Standards (Proposal P1061 – Code Revision (2023)) Variation</w:t>
      </w:r>
      <w:r w:rsidRPr="00530B67">
        <w:t>.</w:t>
      </w:r>
    </w:p>
    <w:p w14:paraId="3AE88501" w14:textId="77777777" w:rsidR="00530B67" w:rsidRPr="00530B67" w:rsidRDefault="00530B67" w:rsidP="000A22EA">
      <w:pPr>
        <w:pStyle w:val="FSCDraftingitemheading"/>
      </w:pPr>
      <w:r w:rsidRPr="00530B67">
        <w:t>2</w:t>
      </w:r>
      <w:r w:rsidRPr="00530B67">
        <w:tab/>
        <w:t xml:space="preserve">Variation to Standards in the </w:t>
      </w:r>
      <w:r w:rsidRPr="00530B67">
        <w:rPr>
          <w:i/>
          <w:iCs/>
        </w:rPr>
        <w:t>Australia New Zealand Food Standards Code</w:t>
      </w:r>
    </w:p>
    <w:p w14:paraId="05435900" w14:textId="77777777" w:rsidR="00530B67" w:rsidRPr="00530B67" w:rsidRDefault="00530B67" w:rsidP="000A22EA">
      <w:pPr>
        <w:pStyle w:val="FSCDraftingitem"/>
      </w:pPr>
      <w:r w:rsidRPr="00530B67">
        <w:t xml:space="preserve">The Schedule varies Standards in the </w:t>
      </w:r>
      <w:r w:rsidRPr="00530B67">
        <w:rPr>
          <w:i/>
        </w:rPr>
        <w:t>Australia New Zealand Food Standards Code</w:t>
      </w:r>
      <w:r w:rsidRPr="00530B67">
        <w:t>.</w:t>
      </w:r>
    </w:p>
    <w:p w14:paraId="03B9FC1E" w14:textId="77777777" w:rsidR="00530B67" w:rsidRPr="00530B67" w:rsidRDefault="00530B67" w:rsidP="000A22EA">
      <w:pPr>
        <w:pStyle w:val="FSCDraftingitemheading"/>
      </w:pPr>
      <w:r w:rsidRPr="00530B67">
        <w:t>3</w:t>
      </w:r>
      <w:r w:rsidRPr="00530B67">
        <w:tab/>
        <w:t>Commencement</w:t>
      </w:r>
    </w:p>
    <w:p w14:paraId="1109B756" w14:textId="77777777" w:rsidR="00530B67" w:rsidRPr="00530B67" w:rsidRDefault="00530B67" w:rsidP="000A22EA">
      <w:pPr>
        <w:pStyle w:val="FSCDraftingitem"/>
      </w:pPr>
      <w:r w:rsidRPr="00530B67">
        <w:t>The variation commences on the date of gazettal.</w:t>
      </w:r>
    </w:p>
    <w:p w14:paraId="3CCB06B4" w14:textId="77777777" w:rsidR="00530B67" w:rsidRPr="00530B67" w:rsidRDefault="00530B67" w:rsidP="00530B67">
      <w:pPr>
        <w:tabs>
          <w:tab w:val="left" w:pos="851"/>
        </w:tabs>
        <w:jc w:val="center"/>
        <w:rPr>
          <w:b/>
          <w:sz w:val="20"/>
          <w:szCs w:val="20"/>
          <w:lang w:bidi="ar-SA"/>
        </w:rPr>
      </w:pPr>
      <w:r w:rsidRPr="00530B67">
        <w:rPr>
          <w:b/>
          <w:sz w:val="20"/>
          <w:szCs w:val="20"/>
          <w:lang w:bidi="ar-SA"/>
        </w:rPr>
        <w:t>Schedule</w:t>
      </w:r>
    </w:p>
    <w:p w14:paraId="53CD0487" w14:textId="77777777" w:rsidR="00530B67" w:rsidRPr="00530B67" w:rsidRDefault="00530B67" w:rsidP="000A22EA">
      <w:pPr>
        <w:pStyle w:val="FSCDraftingitemheading"/>
      </w:pPr>
      <w:r w:rsidRPr="00530B67">
        <w:t xml:space="preserve">Standard 1.1.1 – Structure of the Code and general provisions </w:t>
      </w:r>
    </w:p>
    <w:p w14:paraId="7B338069" w14:textId="77777777" w:rsidR="00530B67" w:rsidRPr="00530B67" w:rsidRDefault="00530B67" w:rsidP="000A22EA">
      <w:pPr>
        <w:pStyle w:val="FSCDraftingitemheading"/>
      </w:pPr>
      <w:r w:rsidRPr="00530B67">
        <w:t>[1]</w:t>
      </w:r>
      <w:r w:rsidRPr="00530B67">
        <w:tab/>
        <w:t>Section 1.1.1—3 (Note 1, subparagraph (iii))</w:t>
      </w:r>
    </w:p>
    <w:p w14:paraId="01D24664" w14:textId="77777777" w:rsidR="00530B67" w:rsidRPr="00530B67" w:rsidRDefault="00530B67" w:rsidP="002E7989">
      <w:pPr>
        <w:pStyle w:val="FSCDraftingitem"/>
      </w:pPr>
      <w:r w:rsidRPr="00530B67">
        <w:tab/>
        <w:t>Repeal the subparagraph, substitute</w:t>
      </w:r>
    </w:p>
    <w:p w14:paraId="7AE322BF" w14:textId="77777777" w:rsidR="00530B67" w:rsidRPr="00530B67" w:rsidRDefault="00530B67" w:rsidP="00B91866">
      <w:pPr>
        <w:pStyle w:val="FSCnSubpara"/>
      </w:pPr>
      <w:r w:rsidRPr="00530B67">
        <w:tab/>
        <w:t xml:space="preserve">        (iii)   section 2.1.1—5 (requirement for </w:t>
      </w:r>
      <w:proofErr w:type="spellStart"/>
      <w:r w:rsidRPr="00530B67">
        <w:t>thiamin</w:t>
      </w:r>
      <w:proofErr w:type="spellEnd"/>
      <w:r w:rsidRPr="00530B67">
        <w:t xml:space="preserve"> in bread);</w:t>
      </w:r>
    </w:p>
    <w:p w14:paraId="76B8F0F9" w14:textId="77777777" w:rsidR="00530B67" w:rsidRPr="00530B67" w:rsidRDefault="00530B67" w:rsidP="00530B67">
      <w:pPr>
        <w:spacing w:before="120" w:after="120"/>
        <w:ind w:left="851" w:hanging="851"/>
        <w:rPr>
          <w:b/>
          <w:sz w:val="20"/>
          <w:szCs w:val="20"/>
          <w:lang w:bidi="ar-SA"/>
        </w:rPr>
      </w:pPr>
    </w:p>
    <w:p w14:paraId="30016D7B" w14:textId="77777777" w:rsidR="00530B67" w:rsidRPr="00530B67" w:rsidRDefault="00530B67" w:rsidP="000A22EA">
      <w:pPr>
        <w:pStyle w:val="FSCDraftingitemheading"/>
      </w:pPr>
      <w:r w:rsidRPr="00530B67">
        <w:t>[2]</w:t>
      </w:r>
      <w:r w:rsidRPr="00530B67">
        <w:tab/>
        <w:t>Paragraph 1.1.1—5(1)(b)</w:t>
      </w:r>
    </w:p>
    <w:p w14:paraId="41D1C640" w14:textId="77777777" w:rsidR="00530B67" w:rsidRPr="00530B67" w:rsidRDefault="00530B67" w:rsidP="002E7989">
      <w:pPr>
        <w:pStyle w:val="FSCDraftingitem"/>
      </w:pPr>
      <w:r w:rsidRPr="00530B67">
        <w:tab/>
        <w:t>Omit “2019”, substitute “2022”</w:t>
      </w:r>
    </w:p>
    <w:p w14:paraId="27AF526E" w14:textId="77777777" w:rsidR="00530B67" w:rsidRPr="00530B67" w:rsidRDefault="00530B67" w:rsidP="00530B67">
      <w:pPr>
        <w:widowControl/>
        <w:tabs>
          <w:tab w:val="left" w:pos="851"/>
        </w:tabs>
        <w:spacing w:before="120" w:after="120"/>
        <w:rPr>
          <w:sz w:val="20"/>
          <w:szCs w:val="20"/>
          <w:lang w:bidi="ar-SA"/>
        </w:rPr>
      </w:pPr>
    </w:p>
    <w:p w14:paraId="0BF9FCE3" w14:textId="77777777" w:rsidR="00530B67" w:rsidRPr="00530B67" w:rsidRDefault="00530B67" w:rsidP="000A22EA">
      <w:pPr>
        <w:pStyle w:val="FSCDraftingitemheading"/>
      </w:pPr>
      <w:r w:rsidRPr="00530B67">
        <w:t>Standard 1.1.2 Definitions used throughout the Code</w:t>
      </w:r>
    </w:p>
    <w:p w14:paraId="1067496A" w14:textId="77777777" w:rsidR="00530B67" w:rsidRPr="00530B67" w:rsidRDefault="00530B67" w:rsidP="000A22EA">
      <w:pPr>
        <w:pStyle w:val="FSCDraftingitemheading"/>
      </w:pPr>
      <w:r w:rsidRPr="00530B67">
        <w:t>[3]</w:t>
      </w:r>
      <w:r w:rsidRPr="00530B67">
        <w:tab/>
        <w:t>Subsection 1.1.2—2(3) (subparagraph (a)(</w:t>
      </w:r>
      <w:proofErr w:type="spellStart"/>
      <w:r w:rsidRPr="00530B67">
        <w:t>i</w:t>
      </w:r>
      <w:proofErr w:type="spellEnd"/>
      <w:r w:rsidRPr="00530B67">
        <w:t xml:space="preserve">) of the definition of </w:t>
      </w:r>
      <w:r w:rsidRPr="008E7CEC">
        <w:rPr>
          <w:i/>
          <w:iCs/>
        </w:rPr>
        <w:t>permitted flavouring substance</w:t>
      </w:r>
      <w:r w:rsidRPr="00530B67">
        <w:t>)</w:t>
      </w:r>
    </w:p>
    <w:p w14:paraId="65781CC8" w14:textId="77777777" w:rsidR="00530B67" w:rsidRPr="00530B67" w:rsidRDefault="00530B67" w:rsidP="002E7989">
      <w:pPr>
        <w:pStyle w:val="FSCDraftingitem"/>
      </w:pPr>
      <w:r w:rsidRPr="00530B67">
        <w:tab/>
        <w:t>Repeal the subparagraph, substitute</w:t>
      </w:r>
    </w:p>
    <w:p w14:paraId="4BF5041D" w14:textId="4796554B" w:rsidR="00530B67" w:rsidRPr="00530B67" w:rsidRDefault="00530B67" w:rsidP="009A6733">
      <w:pPr>
        <w:pStyle w:val="FSCtDefn"/>
        <w:ind w:left="3401" w:hanging="1700"/>
      </w:pPr>
      <w:r w:rsidRPr="00530B67">
        <w:t xml:space="preserve">        </w:t>
      </w:r>
      <w:r w:rsidR="009A6733">
        <w:t xml:space="preserve">           </w:t>
      </w:r>
      <w:r w:rsidRPr="00530B67">
        <w:t>(</w:t>
      </w:r>
      <w:proofErr w:type="spellStart"/>
      <w:r w:rsidRPr="00530B67">
        <w:t>i</w:t>
      </w:r>
      <w:proofErr w:type="spellEnd"/>
      <w:r w:rsidRPr="00530B67">
        <w:t>)</w:t>
      </w:r>
      <w:r w:rsidRPr="00530B67">
        <w:tab/>
        <w:t xml:space="preserve">Generally Recognised as Safe (GRAS) lists of flavouring substances </w:t>
      </w:r>
      <w:proofErr w:type="spellStart"/>
      <w:r w:rsidR="00B91866">
        <w:t>s</w:t>
      </w:r>
      <w:r w:rsidRPr="00530B67">
        <w:t>published</w:t>
      </w:r>
      <w:proofErr w:type="spellEnd"/>
      <w:r w:rsidRPr="00530B67">
        <w:t xml:space="preserve"> by the Flavour and Extract Manufacturers’ Association of the United States from 1960 to 2022 (edition 30);</w:t>
      </w:r>
    </w:p>
    <w:p w14:paraId="11ABB61D" w14:textId="77777777" w:rsidR="00530B67" w:rsidRPr="00530B67" w:rsidRDefault="00530B67" w:rsidP="00530B67">
      <w:pPr>
        <w:spacing w:before="120" w:after="120"/>
        <w:ind w:left="851" w:hanging="851"/>
        <w:rPr>
          <w:b/>
          <w:sz w:val="20"/>
          <w:szCs w:val="20"/>
          <w:lang w:bidi="ar-SA"/>
        </w:rPr>
      </w:pPr>
    </w:p>
    <w:p w14:paraId="03762764" w14:textId="77777777" w:rsidR="00530B67" w:rsidRPr="00530B67" w:rsidRDefault="00530B67" w:rsidP="000A22EA">
      <w:pPr>
        <w:pStyle w:val="FSCDraftingitemheading"/>
      </w:pPr>
      <w:r w:rsidRPr="00530B67">
        <w:t>Standard 1.3.3</w:t>
      </w:r>
      <w:r w:rsidRPr="00530B67">
        <w:tab/>
        <w:t>Processing aids</w:t>
      </w:r>
    </w:p>
    <w:p w14:paraId="66D1EB49" w14:textId="77777777" w:rsidR="00530B67" w:rsidRPr="00530B67" w:rsidRDefault="00530B67" w:rsidP="000A22EA">
      <w:pPr>
        <w:pStyle w:val="FSCDraftingitemheading"/>
      </w:pPr>
      <w:r w:rsidRPr="00530B67">
        <w:t>[4]</w:t>
      </w:r>
      <w:r w:rsidRPr="00530B67">
        <w:tab/>
        <w:t xml:space="preserve">Section 1.3.3—13 </w:t>
      </w:r>
    </w:p>
    <w:p w14:paraId="1E3C460F" w14:textId="77777777" w:rsidR="00530B67" w:rsidRPr="00530B67" w:rsidRDefault="00530B67" w:rsidP="002E7989">
      <w:pPr>
        <w:pStyle w:val="FSCDraftingitem"/>
      </w:pPr>
      <w:r w:rsidRPr="00530B67">
        <w:tab/>
        <w:t>Omit “anti-microbial” wherever occurring, substitute “antimicrobial”</w:t>
      </w:r>
    </w:p>
    <w:p w14:paraId="09586E91" w14:textId="77777777" w:rsidR="00530B67" w:rsidRPr="00530B67" w:rsidRDefault="00530B67" w:rsidP="00530B67">
      <w:pPr>
        <w:spacing w:before="120" w:after="120"/>
        <w:ind w:left="851" w:hanging="851"/>
        <w:rPr>
          <w:b/>
          <w:sz w:val="20"/>
          <w:szCs w:val="20"/>
          <w:lang w:bidi="ar-SA"/>
        </w:rPr>
      </w:pPr>
    </w:p>
    <w:p w14:paraId="20965E3C" w14:textId="77777777" w:rsidR="00530B67" w:rsidRPr="00530B67" w:rsidRDefault="00530B67" w:rsidP="000A22EA">
      <w:pPr>
        <w:pStyle w:val="FSCDraftingitemheading"/>
      </w:pPr>
      <w:r w:rsidRPr="00530B67">
        <w:t>Standard 2.1.1 Cereal and cereal products</w:t>
      </w:r>
    </w:p>
    <w:p w14:paraId="43A9E80F" w14:textId="77777777" w:rsidR="00530B67" w:rsidRPr="00530B67" w:rsidRDefault="00530B67" w:rsidP="000A22EA">
      <w:pPr>
        <w:pStyle w:val="FSCDraftingitemheading"/>
      </w:pPr>
      <w:r w:rsidRPr="00530B67">
        <w:t>[5]</w:t>
      </w:r>
      <w:r w:rsidRPr="00530B67">
        <w:tab/>
        <w:t>Section 2.1.1—5 (note)</w:t>
      </w:r>
    </w:p>
    <w:p w14:paraId="68384D21" w14:textId="77777777" w:rsidR="00530B67" w:rsidRPr="00530B67" w:rsidRDefault="00530B67" w:rsidP="002E7989">
      <w:pPr>
        <w:pStyle w:val="FSCDraftingitem"/>
      </w:pPr>
      <w:r w:rsidRPr="00530B67">
        <w:tab/>
        <w:t>Repeal the note.</w:t>
      </w:r>
    </w:p>
    <w:p w14:paraId="52F3E858" w14:textId="77777777" w:rsidR="00530B67" w:rsidRPr="00530B67" w:rsidRDefault="00530B67" w:rsidP="00530B67">
      <w:pPr>
        <w:spacing w:before="120" w:after="120"/>
        <w:ind w:left="851" w:hanging="851"/>
        <w:rPr>
          <w:b/>
          <w:sz w:val="20"/>
          <w:szCs w:val="20"/>
          <w:lang w:bidi="ar-SA"/>
        </w:rPr>
      </w:pPr>
    </w:p>
    <w:p w14:paraId="72254D62" w14:textId="77777777" w:rsidR="00530B67" w:rsidRPr="00530B67" w:rsidRDefault="00530B67" w:rsidP="000A22EA">
      <w:pPr>
        <w:pStyle w:val="FSCDraftingitemheading"/>
      </w:pPr>
      <w:r w:rsidRPr="00530B67">
        <w:t>[6]</w:t>
      </w:r>
      <w:r w:rsidRPr="00530B67">
        <w:tab/>
        <w:t>At the end of paragraph 2.1.1—5(b)</w:t>
      </w:r>
    </w:p>
    <w:p w14:paraId="1C16AB81" w14:textId="77777777" w:rsidR="00530B67" w:rsidRPr="00530B67" w:rsidRDefault="00530B67" w:rsidP="002E7989">
      <w:pPr>
        <w:pStyle w:val="FSCDraftingitem"/>
      </w:pPr>
      <w:r w:rsidRPr="00530B67">
        <w:tab/>
        <w:t>Add:</w:t>
      </w:r>
    </w:p>
    <w:p w14:paraId="2CBE33EE" w14:textId="77777777" w:rsidR="00530B67" w:rsidRPr="00530B67" w:rsidRDefault="00530B67" w:rsidP="00B91866">
      <w:pPr>
        <w:pStyle w:val="FSCnPara"/>
        <w:rPr>
          <w:sz w:val="20"/>
        </w:rPr>
      </w:pPr>
      <w:r w:rsidRPr="00530B67">
        <w:rPr>
          <w:sz w:val="20"/>
        </w:rPr>
        <w:tab/>
      </w:r>
      <w:r w:rsidRPr="00530B67">
        <w:rPr>
          <w:sz w:val="20"/>
        </w:rPr>
        <w:tab/>
      </w:r>
      <w:r w:rsidRPr="00530B67">
        <w:rPr>
          <w:b/>
          <w:bCs/>
          <w:i/>
        </w:rPr>
        <w:t xml:space="preserve">Note </w:t>
      </w:r>
      <w:r w:rsidRPr="00530B67">
        <w:t>Paragraph 2.1.1—5(b) applies in Australia only.</w:t>
      </w:r>
      <w:r w:rsidRPr="00530B67">
        <w:rPr>
          <w:sz w:val="20"/>
        </w:rPr>
        <w:tab/>
      </w:r>
    </w:p>
    <w:p w14:paraId="17DAF08E" w14:textId="77777777" w:rsidR="00530B67" w:rsidRPr="00530B67" w:rsidRDefault="00530B67" w:rsidP="00530B67">
      <w:pPr>
        <w:spacing w:before="120" w:after="120"/>
        <w:ind w:left="851" w:hanging="851"/>
        <w:rPr>
          <w:b/>
          <w:sz w:val="20"/>
          <w:szCs w:val="20"/>
          <w:lang w:bidi="ar-SA"/>
        </w:rPr>
      </w:pPr>
    </w:p>
    <w:p w14:paraId="454B28D0" w14:textId="77777777" w:rsidR="00530B67" w:rsidRPr="00530B67" w:rsidRDefault="00530B67" w:rsidP="000A22EA">
      <w:pPr>
        <w:pStyle w:val="FSCDraftingitemheading"/>
      </w:pPr>
      <w:r w:rsidRPr="00530B67">
        <w:t>Standard 2.2.3</w:t>
      </w:r>
      <w:r w:rsidRPr="00530B67">
        <w:tab/>
        <w:t>Fish and fish products</w:t>
      </w:r>
    </w:p>
    <w:p w14:paraId="6F699A5D" w14:textId="77777777" w:rsidR="00530B67" w:rsidRPr="00530B67" w:rsidRDefault="00530B67" w:rsidP="000A22EA">
      <w:pPr>
        <w:pStyle w:val="FSCDraftingitemheading"/>
      </w:pPr>
      <w:r w:rsidRPr="00530B67">
        <w:t>[7]</w:t>
      </w:r>
      <w:r w:rsidRPr="00530B67">
        <w:tab/>
        <w:t>Note 3</w:t>
      </w:r>
    </w:p>
    <w:p w14:paraId="4153C3B7" w14:textId="77777777" w:rsidR="00530B67" w:rsidRPr="00530B67" w:rsidRDefault="00530B67" w:rsidP="002E7989">
      <w:pPr>
        <w:pStyle w:val="FSCDraftingitem"/>
      </w:pPr>
      <w:r w:rsidRPr="00530B67">
        <w:t>Repeal the note, substitute:</w:t>
      </w:r>
    </w:p>
    <w:p w14:paraId="45882CE8" w14:textId="77777777" w:rsidR="00530B67" w:rsidRPr="00530B67" w:rsidRDefault="00530B67" w:rsidP="00B91866">
      <w:pPr>
        <w:pStyle w:val="FSCnMain"/>
        <w:ind w:left="0" w:firstLine="0"/>
        <w:rPr>
          <w:lang w:val="en-AU"/>
        </w:rPr>
      </w:pPr>
      <w:r w:rsidRPr="00530B67">
        <w:t>This Code does not define specific names for fish. The Australian Fish Names Standard (AS 5300) provides guidance on standard fish names to be used in Australia.</w:t>
      </w:r>
    </w:p>
    <w:p w14:paraId="142F8990" w14:textId="77777777" w:rsidR="00530B67" w:rsidRPr="00530B67" w:rsidRDefault="00530B67" w:rsidP="00B91866">
      <w:pPr>
        <w:pStyle w:val="FSCnMain"/>
      </w:pPr>
      <w:r w:rsidRPr="00530B67">
        <w:lastRenderedPageBreak/>
        <w:t xml:space="preserve">                                      1.          Hard copies of the Standard are available at </w:t>
      </w:r>
      <w:hyperlink r:id="rId37" w:history="1">
        <w:r w:rsidRPr="00530B67">
          <w:rPr>
            <w:color w:val="3333FF"/>
            <w:szCs w:val="16"/>
            <w:u w:val="single"/>
          </w:rPr>
          <w:t>https://infostore.saiglobal.com/en-au/standards/as-5300-2019-111200_saig_as_as_2741382/</w:t>
        </w:r>
      </w:hyperlink>
      <w:r w:rsidRPr="00530B67">
        <w:t>.</w:t>
      </w:r>
    </w:p>
    <w:p w14:paraId="7EBD2583" w14:textId="77777777" w:rsidR="00530B67" w:rsidRPr="00530B67" w:rsidRDefault="00530B67" w:rsidP="00B91866">
      <w:pPr>
        <w:pStyle w:val="FSCnMain"/>
      </w:pPr>
      <w:r w:rsidRPr="00530B67">
        <w:t>                                      2.          A searchable database of Australian Standard Fish Names is available at </w:t>
      </w:r>
      <w:hyperlink r:id="rId38" w:history="1">
        <w:r w:rsidRPr="00530B67">
          <w:rPr>
            <w:color w:val="0000FF" w:themeColor="hyperlink"/>
            <w:u w:val="single"/>
          </w:rPr>
          <w:t>http://www.fishnames.com.au</w:t>
        </w:r>
      </w:hyperlink>
      <w:r w:rsidRPr="00530B67">
        <w:t>.</w:t>
      </w:r>
    </w:p>
    <w:p w14:paraId="39550861" w14:textId="77777777" w:rsidR="00530B67" w:rsidRPr="00530B67" w:rsidRDefault="00530B67" w:rsidP="00B91866">
      <w:pPr>
        <w:pStyle w:val="FSCnMain"/>
        <w:rPr>
          <w:u w:val="single"/>
        </w:rPr>
      </w:pPr>
      <w:r w:rsidRPr="00530B67">
        <w:tab/>
        <w:t>3.</w:t>
      </w:r>
      <w:r w:rsidRPr="00530B67">
        <w:tab/>
        <w:t xml:space="preserve">New Zealand common, </w:t>
      </w:r>
      <w:proofErr w:type="spellStart"/>
      <w:r w:rsidRPr="00530B67">
        <w:t>Maori</w:t>
      </w:r>
      <w:proofErr w:type="spellEnd"/>
      <w:r w:rsidRPr="00530B67">
        <w:t>, and scientific names for fish species are available at </w:t>
      </w:r>
      <w:hyperlink r:id="rId39" w:history="1">
        <w:r w:rsidRPr="00530B67">
          <w:rPr>
            <w:color w:val="0000FF" w:themeColor="hyperlink"/>
            <w:u w:val="single"/>
          </w:rPr>
          <w:t>https://www.mpi.govt.nz/food-business/seafood-processing-storage-testing/fish-names-labelling-requirements/</w:t>
        </w:r>
      </w:hyperlink>
      <w:r w:rsidRPr="00530B67">
        <w:rPr>
          <w:u w:val="single"/>
        </w:rPr>
        <w:t>.</w:t>
      </w:r>
    </w:p>
    <w:p w14:paraId="0E2F3966" w14:textId="77777777" w:rsidR="00530B67" w:rsidRPr="00530B67" w:rsidRDefault="00530B67" w:rsidP="00530B67">
      <w:pPr>
        <w:spacing w:before="120" w:after="120"/>
        <w:ind w:left="851" w:hanging="851"/>
        <w:rPr>
          <w:b/>
          <w:sz w:val="20"/>
          <w:szCs w:val="20"/>
          <w:lang w:bidi="ar-SA"/>
        </w:rPr>
      </w:pPr>
    </w:p>
    <w:p w14:paraId="44B9AE75" w14:textId="77777777" w:rsidR="00530B67" w:rsidRPr="00530B67" w:rsidRDefault="00530B67" w:rsidP="008F47BB">
      <w:pPr>
        <w:pStyle w:val="FSCDraftingitemheading"/>
      </w:pPr>
      <w:r w:rsidRPr="00530B67">
        <w:t>Standard 2.9.1 Infant formula products</w:t>
      </w:r>
    </w:p>
    <w:p w14:paraId="2266A562" w14:textId="77777777" w:rsidR="00530B67" w:rsidRPr="00530B67" w:rsidRDefault="00530B67" w:rsidP="008F47BB">
      <w:pPr>
        <w:pStyle w:val="FSCDraftingitemheading"/>
      </w:pPr>
      <w:r w:rsidRPr="00530B67">
        <w:t>[8]</w:t>
      </w:r>
      <w:r w:rsidRPr="00530B67">
        <w:tab/>
        <w:t>Paragraph 2.9.1—24(1)(</w:t>
      </w:r>
      <w:proofErr w:type="spellStart"/>
      <w:r w:rsidRPr="00530B67">
        <w:t>cb</w:t>
      </w:r>
      <w:proofErr w:type="spellEnd"/>
      <w:r w:rsidRPr="00530B67">
        <w:t>)</w:t>
      </w:r>
    </w:p>
    <w:p w14:paraId="56E36323" w14:textId="77777777" w:rsidR="00530B67" w:rsidRPr="00530B67" w:rsidRDefault="00530B67" w:rsidP="00873705">
      <w:pPr>
        <w:pStyle w:val="FSCDraftingitem"/>
      </w:pPr>
      <w:r w:rsidRPr="00530B67">
        <w:tab/>
        <w:t>Repeal the paragraph, substitute:</w:t>
      </w:r>
    </w:p>
    <w:p w14:paraId="6C5F1AF1" w14:textId="069E0E06" w:rsidR="00530B67" w:rsidRPr="00530B67" w:rsidRDefault="00873705" w:rsidP="00873705">
      <w:pPr>
        <w:pStyle w:val="FSCtPara"/>
        <w:ind w:left="3402" w:hanging="3402"/>
      </w:pPr>
      <w:r>
        <w:tab/>
        <w:t xml:space="preserve">                  </w:t>
      </w:r>
      <w:r w:rsidR="00530B67" w:rsidRPr="00530B67">
        <w:t>(</w:t>
      </w:r>
      <w:proofErr w:type="spellStart"/>
      <w:r w:rsidR="00530B67" w:rsidRPr="00530B67">
        <w:t>cb</w:t>
      </w:r>
      <w:proofErr w:type="spellEnd"/>
      <w:r w:rsidR="00530B67" w:rsidRPr="00530B67">
        <w:t>)</w:t>
      </w:r>
      <w:r w:rsidR="00530B67" w:rsidRPr="00530B67">
        <w:tab/>
        <w:t>the abbreviations ‘HMO’ or ‘</w:t>
      </w:r>
      <w:proofErr w:type="spellStart"/>
      <w:r w:rsidR="00530B67" w:rsidRPr="00530B67">
        <w:t>HiMO</w:t>
      </w:r>
      <w:proofErr w:type="spellEnd"/>
      <w:r w:rsidR="00530B67" w:rsidRPr="00530B67">
        <w:t>’ or any abbreviation having the same or similar effect; or</w:t>
      </w:r>
    </w:p>
    <w:p w14:paraId="1799789A" w14:textId="77777777" w:rsidR="00530B67" w:rsidRPr="00530B67" w:rsidRDefault="00530B67" w:rsidP="00530B67">
      <w:pPr>
        <w:spacing w:before="120" w:after="120"/>
        <w:ind w:left="851" w:hanging="851"/>
        <w:rPr>
          <w:rFonts w:eastAsia="Calibri"/>
          <w:b/>
          <w:sz w:val="20"/>
          <w:szCs w:val="20"/>
          <w:lang w:bidi="ar-SA"/>
        </w:rPr>
      </w:pPr>
    </w:p>
    <w:p w14:paraId="75B478E5" w14:textId="77777777" w:rsidR="00530B67" w:rsidRPr="00530B67" w:rsidRDefault="00530B67" w:rsidP="008F47BB">
      <w:pPr>
        <w:pStyle w:val="FSCDraftingitemheading"/>
      </w:pPr>
      <w:r w:rsidRPr="00530B67">
        <w:t>Standard 3.2.1 Food Safety Programs</w:t>
      </w:r>
    </w:p>
    <w:p w14:paraId="278ED7F0" w14:textId="77777777" w:rsidR="00530B67" w:rsidRPr="00530B67" w:rsidRDefault="00530B67" w:rsidP="008F47BB">
      <w:pPr>
        <w:pStyle w:val="FSCDraftingitemheading"/>
      </w:pPr>
      <w:r w:rsidRPr="00530B67">
        <w:t>[9]</w:t>
      </w:r>
      <w:r w:rsidRPr="00530B67">
        <w:tab/>
        <w:t>Contents</w:t>
      </w:r>
    </w:p>
    <w:p w14:paraId="2DFED7A6" w14:textId="77777777" w:rsidR="00530B67" w:rsidRPr="00530B67" w:rsidRDefault="00530B67" w:rsidP="00873705">
      <w:pPr>
        <w:pStyle w:val="FSCDraftingitem"/>
        <w:rPr>
          <w:rFonts w:eastAsia="Calibri"/>
        </w:rPr>
      </w:pPr>
      <w:r w:rsidRPr="00530B67">
        <w:rPr>
          <w:rFonts w:eastAsia="Calibri"/>
        </w:rPr>
        <w:tab/>
      </w:r>
      <w:r w:rsidRPr="00530B67">
        <w:t>Repeal</w:t>
      </w:r>
      <w:r w:rsidRPr="00530B67">
        <w:rPr>
          <w:rFonts w:eastAsia="Calibri"/>
        </w:rPr>
        <w:t>:</w:t>
      </w:r>
    </w:p>
    <w:p w14:paraId="24A3BD65" w14:textId="77777777" w:rsidR="00530B67" w:rsidRPr="00530B67" w:rsidRDefault="00530B67" w:rsidP="00716CA4">
      <w:pPr>
        <w:pStyle w:val="FSCtMain"/>
      </w:pPr>
      <w:r w:rsidRPr="00530B67">
        <w:rPr>
          <w:rFonts w:eastAsia="Calibri"/>
        </w:rPr>
        <w:tab/>
      </w:r>
      <w:r w:rsidRPr="00530B67">
        <w:t>Division 2 – Food safety programs</w:t>
      </w:r>
    </w:p>
    <w:p w14:paraId="38A5871C" w14:textId="77777777" w:rsidR="00530B67" w:rsidRPr="00530B67" w:rsidRDefault="00530B67" w:rsidP="00530B67">
      <w:pPr>
        <w:tabs>
          <w:tab w:val="left" w:pos="1134"/>
        </w:tabs>
        <w:spacing w:before="120" w:after="120"/>
        <w:ind w:left="1701" w:hanging="1701"/>
        <w:rPr>
          <w:rFonts w:cs="Arial"/>
          <w:iCs/>
          <w:sz w:val="20"/>
          <w:szCs w:val="22"/>
          <w:lang w:eastAsia="en-AU" w:bidi="ar-SA"/>
        </w:rPr>
      </w:pPr>
      <w:r w:rsidRPr="00530B67">
        <w:rPr>
          <w:rFonts w:cs="Arial"/>
          <w:iCs/>
          <w:sz w:val="20"/>
          <w:szCs w:val="22"/>
          <w:lang w:eastAsia="en-AU" w:bidi="ar-SA"/>
        </w:rPr>
        <w:tab/>
        <w:t>3            General food safety program requirements</w:t>
      </w:r>
    </w:p>
    <w:p w14:paraId="413D1896" w14:textId="77777777" w:rsidR="00530B67" w:rsidRPr="00530B67" w:rsidRDefault="00530B67" w:rsidP="00530B67">
      <w:pPr>
        <w:tabs>
          <w:tab w:val="left" w:pos="1134"/>
        </w:tabs>
        <w:spacing w:before="120" w:after="120"/>
        <w:ind w:left="1701" w:hanging="1701"/>
        <w:rPr>
          <w:rFonts w:cs="Arial"/>
          <w:iCs/>
          <w:sz w:val="20"/>
          <w:szCs w:val="22"/>
          <w:lang w:eastAsia="en-AU" w:bidi="ar-SA"/>
        </w:rPr>
      </w:pPr>
      <w:r w:rsidRPr="00530B67">
        <w:rPr>
          <w:rFonts w:cs="Arial"/>
          <w:iCs/>
          <w:sz w:val="20"/>
          <w:szCs w:val="22"/>
          <w:lang w:eastAsia="en-AU" w:bidi="ar-SA"/>
        </w:rPr>
        <w:tab/>
        <w:t>4            Auditing of food safety programs</w:t>
      </w:r>
    </w:p>
    <w:p w14:paraId="5FE4FD0B" w14:textId="77777777" w:rsidR="00530B67" w:rsidRPr="00530B67" w:rsidRDefault="00530B67" w:rsidP="00530B67">
      <w:pPr>
        <w:tabs>
          <w:tab w:val="left" w:pos="1134"/>
        </w:tabs>
        <w:spacing w:before="120" w:after="120"/>
        <w:ind w:left="1701" w:hanging="1701"/>
        <w:rPr>
          <w:rFonts w:cs="Arial"/>
          <w:iCs/>
          <w:sz w:val="20"/>
          <w:szCs w:val="22"/>
          <w:lang w:eastAsia="en-AU" w:bidi="ar-SA"/>
        </w:rPr>
      </w:pPr>
      <w:r w:rsidRPr="00530B67">
        <w:rPr>
          <w:rFonts w:cs="Arial"/>
          <w:iCs/>
          <w:sz w:val="20"/>
          <w:szCs w:val="22"/>
          <w:lang w:eastAsia="en-AU" w:bidi="ar-SA"/>
        </w:rPr>
        <w:tab/>
        <w:t>Content of food safety programs</w:t>
      </w:r>
    </w:p>
    <w:p w14:paraId="6ECC84EE" w14:textId="77777777" w:rsidR="00530B67" w:rsidRPr="00530B67" w:rsidRDefault="00530B67" w:rsidP="00530B67">
      <w:pPr>
        <w:tabs>
          <w:tab w:val="left" w:pos="1134"/>
        </w:tabs>
        <w:spacing w:before="120" w:after="120"/>
        <w:ind w:left="1701" w:hanging="1701"/>
        <w:rPr>
          <w:rFonts w:cs="Arial"/>
          <w:iCs/>
          <w:sz w:val="20"/>
          <w:szCs w:val="22"/>
          <w:lang w:eastAsia="en-AU" w:bidi="ar-SA"/>
        </w:rPr>
      </w:pPr>
      <w:r w:rsidRPr="00530B67">
        <w:rPr>
          <w:rFonts w:cs="Arial"/>
          <w:iCs/>
          <w:sz w:val="20"/>
          <w:szCs w:val="22"/>
          <w:lang w:eastAsia="en-AU" w:bidi="ar-SA"/>
        </w:rPr>
        <w:tab/>
        <w:t>6            Fund raising events</w:t>
      </w:r>
    </w:p>
    <w:p w14:paraId="37149AEB" w14:textId="77777777" w:rsidR="00530B67" w:rsidRPr="00530B67" w:rsidRDefault="00530B67" w:rsidP="00873705">
      <w:pPr>
        <w:pStyle w:val="FSCDraftingitem"/>
        <w:rPr>
          <w:rFonts w:eastAsia="Calibri"/>
        </w:rPr>
      </w:pPr>
      <w:r w:rsidRPr="00530B67">
        <w:rPr>
          <w:rFonts w:eastAsia="Calibri"/>
        </w:rPr>
        <w:tab/>
      </w:r>
      <w:r w:rsidRPr="00530B67">
        <w:t>substitute</w:t>
      </w:r>
      <w:r w:rsidRPr="00530B67">
        <w:rPr>
          <w:rFonts w:eastAsia="Calibri"/>
        </w:rPr>
        <w:t>:</w:t>
      </w:r>
    </w:p>
    <w:p w14:paraId="2C87F7F9" w14:textId="77777777" w:rsidR="00530B67" w:rsidRPr="00530B67" w:rsidRDefault="00530B67" w:rsidP="00716CA4">
      <w:pPr>
        <w:pStyle w:val="FSCtMain"/>
      </w:pPr>
      <w:r w:rsidRPr="00530B67">
        <w:tab/>
        <w:t>Division 2 – Food safety programs</w:t>
      </w:r>
    </w:p>
    <w:p w14:paraId="7740D3AF" w14:textId="77777777" w:rsidR="00530B67" w:rsidRPr="00530B67" w:rsidRDefault="00530B67" w:rsidP="00530B67">
      <w:pPr>
        <w:tabs>
          <w:tab w:val="left" w:pos="1134"/>
        </w:tabs>
        <w:spacing w:before="120" w:after="120"/>
        <w:ind w:left="1701" w:hanging="1701"/>
        <w:rPr>
          <w:rFonts w:cs="Arial"/>
          <w:iCs/>
          <w:sz w:val="20"/>
          <w:szCs w:val="22"/>
          <w:lang w:eastAsia="en-AU" w:bidi="ar-SA"/>
        </w:rPr>
      </w:pPr>
      <w:r w:rsidRPr="00530B67">
        <w:rPr>
          <w:rFonts w:cs="Arial"/>
          <w:iCs/>
          <w:sz w:val="20"/>
          <w:szCs w:val="22"/>
          <w:lang w:eastAsia="en-AU" w:bidi="ar-SA"/>
        </w:rPr>
        <w:tab/>
        <w:t>3</w:t>
      </w:r>
      <w:r w:rsidRPr="00530B67">
        <w:rPr>
          <w:rFonts w:cs="Arial"/>
          <w:iCs/>
          <w:sz w:val="20"/>
          <w:szCs w:val="22"/>
          <w:lang w:eastAsia="en-AU" w:bidi="ar-SA"/>
        </w:rPr>
        <w:tab/>
        <w:t>General food safety program requirements</w:t>
      </w:r>
    </w:p>
    <w:p w14:paraId="0D05E4AD" w14:textId="77777777" w:rsidR="00530B67" w:rsidRPr="00530B67" w:rsidRDefault="00530B67" w:rsidP="00530B67">
      <w:pPr>
        <w:tabs>
          <w:tab w:val="left" w:pos="1134"/>
        </w:tabs>
        <w:spacing w:before="120" w:after="120"/>
        <w:ind w:left="1701" w:hanging="1701"/>
        <w:rPr>
          <w:rFonts w:cs="Arial"/>
          <w:iCs/>
          <w:sz w:val="20"/>
          <w:szCs w:val="22"/>
          <w:lang w:eastAsia="en-AU" w:bidi="ar-SA"/>
        </w:rPr>
      </w:pPr>
      <w:r w:rsidRPr="00530B67">
        <w:rPr>
          <w:rFonts w:cs="Arial"/>
          <w:iCs/>
          <w:sz w:val="20"/>
          <w:szCs w:val="22"/>
          <w:lang w:eastAsia="en-AU" w:bidi="ar-SA"/>
        </w:rPr>
        <w:tab/>
        <w:t>4</w:t>
      </w:r>
      <w:r w:rsidRPr="00530B67">
        <w:rPr>
          <w:rFonts w:cs="Arial"/>
          <w:iCs/>
          <w:sz w:val="20"/>
          <w:szCs w:val="22"/>
          <w:lang w:eastAsia="en-AU" w:bidi="ar-SA"/>
        </w:rPr>
        <w:tab/>
        <w:t>Auditing of food safety programs</w:t>
      </w:r>
    </w:p>
    <w:p w14:paraId="36227D51" w14:textId="77777777" w:rsidR="00530B67" w:rsidRPr="00530B67" w:rsidRDefault="00530B67" w:rsidP="00530B67">
      <w:pPr>
        <w:tabs>
          <w:tab w:val="left" w:pos="1134"/>
        </w:tabs>
        <w:spacing w:before="120" w:after="120"/>
        <w:ind w:left="1701" w:hanging="1701"/>
        <w:rPr>
          <w:rFonts w:cs="Arial"/>
          <w:iCs/>
          <w:sz w:val="20"/>
          <w:szCs w:val="22"/>
          <w:lang w:eastAsia="en-AU" w:bidi="ar-SA"/>
        </w:rPr>
      </w:pPr>
      <w:r w:rsidRPr="00530B67">
        <w:rPr>
          <w:rFonts w:cs="Arial"/>
          <w:iCs/>
          <w:sz w:val="20"/>
          <w:szCs w:val="22"/>
          <w:lang w:eastAsia="en-AU" w:bidi="ar-SA"/>
        </w:rPr>
        <w:tab/>
        <w:t>5</w:t>
      </w:r>
      <w:r w:rsidRPr="00530B67">
        <w:rPr>
          <w:rFonts w:cs="Arial"/>
          <w:iCs/>
          <w:sz w:val="20"/>
          <w:szCs w:val="22"/>
          <w:lang w:eastAsia="en-AU" w:bidi="ar-SA"/>
        </w:rPr>
        <w:tab/>
        <w:t>Content of food safety programs</w:t>
      </w:r>
    </w:p>
    <w:p w14:paraId="642E564E" w14:textId="77777777" w:rsidR="00530B67" w:rsidRPr="00530B67" w:rsidRDefault="00530B67" w:rsidP="00530B67">
      <w:pPr>
        <w:tabs>
          <w:tab w:val="left" w:pos="1134"/>
        </w:tabs>
        <w:spacing w:before="120" w:after="120"/>
        <w:ind w:left="1701" w:hanging="1701"/>
        <w:rPr>
          <w:rFonts w:eastAsia="Calibri" w:cs="Arial"/>
          <w:iCs/>
          <w:sz w:val="20"/>
          <w:szCs w:val="22"/>
          <w:lang w:eastAsia="en-AU" w:bidi="ar-SA"/>
        </w:rPr>
      </w:pPr>
      <w:r w:rsidRPr="00530B67">
        <w:rPr>
          <w:rFonts w:cs="Arial"/>
          <w:iCs/>
          <w:sz w:val="20"/>
          <w:szCs w:val="22"/>
          <w:lang w:eastAsia="en-AU" w:bidi="ar-SA"/>
        </w:rPr>
        <w:tab/>
        <w:t>6</w:t>
      </w:r>
      <w:r w:rsidRPr="00530B67">
        <w:rPr>
          <w:rFonts w:cs="Arial"/>
          <w:iCs/>
          <w:sz w:val="20"/>
          <w:szCs w:val="22"/>
          <w:lang w:eastAsia="en-AU" w:bidi="ar-SA"/>
        </w:rPr>
        <w:tab/>
        <w:t>Fund raising events</w:t>
      </w:r>
    </w:p>
    <w:p w14:paraId="60B1CBEB" w14:textId="77777777" w:rsidR="00530B67" w:rsidRPr="00530B67" w:rsidRDefault="00530B67" w:rsidP="00530B67">
      <w:pPr>
        <w:spacing w:before="120" w:after="120"/>
        <w:ind w:left="851" w:hanging="851"/>
        <w:rPr>
          <w:b/>
          <w:sz w:val="20"/>
          <w:szCs w:val="20"/>
          <w:lang w:bidi="ar-SA"/>
        </w:rPr>
      </w:pPr>
    </w:p>
    <w:p w14:paraId="1FE8F18E" w14:textId="77777777" w:rsidR="00530B67" w:rsidRPr="00530B67" w:rsidRDefault="00530B67" w:rsidP="008F47BB">
      <w:pPr>
        <w:pStyle w:val="FSCDraftingitemheading"/>
      </w:pPr>
      <w:r w:rsidRPr="00530B67">
        <w:t>Standard 3.2.2</w:t>
      </w:r>
      <w:r w:rsidRPr="00530B67">
        <w:tab/>
        <w:t>Food Safety Practices and General Requirements</w:t>
      </w:r>
    </w:p>
    <w:p w14:paraId="46879FBD" w14:textId="77777777" w:rsidR="00530B67" w:rsidRPr="00530B67" w:rsidRDefault="00530B67" w:rsidP="008F47BB">
      <w:pPr>
        <w:pStyle w:val="FSCDraftingitemheading"/>
      </w:pPr>
      <w:r w:rsidRPr="00530B67">
        <w:t>[10]</w:t>
      </w:r>
      <w:r w:rsidRPr="00530B67">
        <w:tab/>
        <w:t>Subclause 4(4)</w:t>
      </w:r>
    </w:p>
    <w:p w14:paraId="5C07F69E" w14:textId="77777777" w:rsidR="00530B67" w:rsidRPr="00530B67" w:rsidRDefault="00530B67" w:rsidP="00873705">
      <w:pPr>
        <w:pStyle w:val="FSCDraftingitem"/>
      </w:pPr>
      <w:r w:rsidRPr="00530B67">
        <w:tab/>
        <w:t>Repeal the subclause.</w:t>
      </w:r>
    </w:p>
    <w:p w14:paraId="388CE6E3" w14:textId="77777777" w:rsidR="00530B67" w:rsidRPr="00530B67" w:rsidRDefault="00530B67" w:rsidP="00530B67">
      <w:pPr>
        <w:spacing w:before="120" w:after="120"/>
        <w:ind w:left="851" w:hanging="851"/>
        <w:rPr>
          <w:b/>
          <w:sz w:val="20"/>
          <w:szCs w:val="20"/>
          <w:lang w:bidi="ar-SA"/>
        </w:rPr>
      </w:pPr>
    </w:p>
    <w:p w14:paraId="108263FD" w14:textId="77777777" w:rsidR="00530B67" w:rsidRPr="00530B67" w:rsidRDefault="00530B67" w:rsidP="008F47BB">
      <w:pPr>
        <w:pStyle w:val="FSCDraftingitemheading"/>
      </w:pPr>
      <w:r w:rsidRPr="00530B67">
        <w:t>Standard 4.1.1</w:t>
      </w:r>
      <w:r w:rsidRPr="00530B67">
        <w:tab/>
        <w:t>Primary Production and Processing Standards – Preliminary Provisions</w:t>
      </w:r>
    </w:p>
    <w:p w14:paraId="7542AC5C" w14:textId="77777777" w:rsidR="00530B67" w:rsidRPr="00530B67" w:rsidRDefault="00530B67" w:rsidP="008F47BB">
      <w:pPr>
        <w:pStyle w:val="FSCDraftingitemheading"/>
      </w:pPr>
      <w:r w:rsidRPr="00530B67">
        <w:t>[11]</w:t>
      </w:r>
      <w:r w:rsidRPr="00530B67">
        <w:tab/>
        <w:t>Clause 5 (editorial note)</w:t>
      </w:r>
    </w:p>
    <w:p w14:paraId="19DB4241" w14:textId="77777777" w:rsidR="00530B67" w:rsidRPr="00530B67" w:rsidRDefault="00530B67" w:rsidP="00873705">
      <w:pPr>
        <w:pStyle w:val="FSCDraftingitem"/>
      </w:pPr>
      <w:r w:rsidRPr="00530B67">
        <w:tab/>
        <w:t>Omit “AQIS”, substitute “DAFF”.</w:t>
      </w:r>
    </w:p>
    <w:p w14:paraId="0B8982C5" w14:textId="77777777" w:rsidR="00530B67" w:rsidRPr="00530B67" w:rsidRDefault="00530B67" w:rsidP="00530B67">
      <w:pPr>
        <w:spacing w:before="120" w:after="120"/>
        <w:ind w:left="851" w:hanging="851"/>
        <w:rPr>
          <w:b/>
          <w:sz w:val="20"/>
          <w:szCs w:val="20"/>
          <w:lang w:bidi="ar-SA"/>
        </w:rPr>
      </w:pPr>
    </w:p>
    <w:p w14:paraId="356A7A29" w14:textId="77777777" w:rsidR="00530B67" w:rsidRPr="00530B67" w:rsidRDefault="00530B67" w:rsidP="008F47BB">
      <w:pPr>
        <w:pStyle w:val="FSCDraftingitemheading"/>
      </w:pPr>
      <w:r w:rsidRPr="00530B67">
        <w:t>Standard 4.2.1</w:t>
      </w:r>
      <w:r w:rsidRPr="00530B67">
        <w:tab/>
        <w:t>Primary Production and Processing Standard for Seafood</w:t>
      </w:r>
    </w:p>
    <w:p w14:paraId="50DD5262" w14:textId="77777777" w:rsidR="00530B67" w:rsidRPr="00530B67" w:rsidRDefault="00530B67" w:rsidP="008F47BB">
      <w:pPr>
        <w:pStyle w:val="FSCDraftingitemheading"/>
      </w:pPr>
      <w:r w:rsidRPr="00530B67">
        <w:t>[12]</w:t>
      </w:r>
      <w:r w:rsidRPr="00530B67">
        <w:tab/>
        <w:t>Paragraph 16(2)(b)</w:t>
      </w:r>
    </w:p>
    <w:p w14:paraId="55AE4B1F" w14:textId="77777777" w:rsidR="00530B67" w:rsidRPr="00530B67" w:rsidRDefault="00530B67" w:rsidP="00873705">
      <w:pPr>
        <w:pStyle w:val="FSCDraftingitem"/>
      </w:pPr>
      <w:r w:rsidRPr="00530B67">
        <w:tab/>
        <w:t>Omit:</w:t>
      </w:r>
    </w:p>
    <w:p w14:paraId="1A84D615" w14:textId="77777777" w:rsidR="00530B67" w:rsidRPr="00530B67" w:rsidRDefault="00530B67" w:rsidP="00716CA4">
      <w:pPr>
        <w:pStyle w:val="FSCtPara"/>
        <w:rPr>
          <w:lang w:val="en-AU"/>
        </w:rPr>
      </w:pPr>
      <w:r w:rsidRPr="00530B67">
        <w:rPr>
          <w:lang w:val="en-AU"/>
        </w:rPr>
        <w:t>Fish and Fish Products Orders (2005)</w:t>
      </w:r>
    </w:p>
    <w:p w14:paraId="751593BB" w14:textId="77777777" w:rsidR="00530B67" w:rsidRPr="00530B67" w:rsidRDefault="00530B67" w:rsidP="00873705">
      <w:pPr>
        <w:pStyle w:val="FSCDraftingitem"/>
      </w:pPr>
      <w:r w:rsidRPr="00530B67">
        <w:tab/>
        <w:t>submit:</w:t>
      </w:r>
    </w:p>
    <w:p w14:paraId="57D15E4D" w14:textId="77777777" w:rsidR="00530B67" w:rsidRPr="00716CA4" w:rsidRDefault="00530B67" w:rsidP="00716CA4">
      <w:pPr>
        <w:pStyle w:val="FSCtPara"/>
        <w:rPr>
          <w:i/>
          <w:iCs w:val="0"/>
          <w:lang w:val="en-AU"/>
        </w:rPr>
      </w:pPr>
      <w:r w:rsidRPr="00716CA4">
        <w:rPr>
          <w:i/>
          <w:iCs w:val="0"/>
          <w:lang w:val="en-AU"/>
        </w:rPr>
        <w:lastRenderedPageBreak/>
        <w:t>Export Control (Fish and Fish Products) Rules 2021</w:t>
      </w:r>
    </w:p>
    <w:p w14:paraId="161B8312" w14:textId="77777777" w:rsidR="00530B67" w:rsidRPr="00530B67" w:rsidRDefault="00530B67" w:rsidP="00530B67">
      <w:pPr>
        <w:spacing w:before="120" w:after="120"/>
        <w:ind w:left="851" w:hanging="851"/>
        <w:rPr>
          <w:b/>
          <w:sz w:val="20"/>
          <w:szCs w:val="20"/>
          <w:lang w:bidi="ar-SA"/>
        </w:rPr>
      </w:pPr>
    </w:p>
    <w:p w14:paraId="38800DE0" w14:textId="77777777" w:rsidR="00530B67" w:rsidRPr="00530B67" w:rsidRDefault="00530B67" w:rsidP="00197B98">
      <w:pPr>
        <w:pStyle w:val="FSCDraftingitemheading"/>
      </w:pPr>
      <w:r w:rsidRPr="00530B67">
        <w:t>Standard 4.2.2</w:t>
      </w:r>
      <w:r w:rsidRPr="00530B67">
        <w:tab/>
        <w:t>Production and Processing Standard for Poultry Meat</w:t>
      </w:r>
    </w:p>
    <w:p w14:paraId="23A11707" w14:textId="77777777" w:rsidR="00530B67" w:rsidRPr="00530B67" w:rsidRDefault="00530B67" w:rsidP="00197B98">
      <w:pPr>
        <w:pStyle w:val="FSCDraftingitemheading"/>
      </w:pPr>
      <w:r w:rsidRPr="00530B67">
        <w:t>[13]</w:t>
      </w:r>
      <w:r w:rsidRPr="00530B67">
        <w:tab/>
        <w:t>Clause 14 (editorial note)</w:t>
      </w:r>
    </w:p>
    <w:p w14:paraId="75FD3A69" w14:textId="77777777" w:rsidR="00530B67" w:rsidRPr="00530B67" w:rsidRDefault="00530B67" w:rsidP="001B7398">
      <w:pPr>
        <w:pStyle w:val="FSCDraftingitem"/>
      </w:pPr>
      <w:r w:rsidRPr="00530B67">
        <w:tab/>
        <w:t>Omit:</w:t>
      </w:r>
    </w:p>
    <w:p w14:paraId="0EB6CA4E" w14:textId="77777777" w:rsidR="00530B67" w:rsidRPr="00E5744C" w:rsidRDefault="00530B67" w:rsidP="00E5744C">
      <w:pPr>
        <w:pStyle w:val="FSCtMain"/>
        <w:rPr>
          <w:i/>
          <w:iCs w:val="0"/>
        </w:rPr>
      </w:pPr>
      <w:r w:rsidRPr="00E5744C">
        <w:rPr>
          <w:i/>
          <w:iCs w:val="0"/>
        </w:rPr>
        <w:t>Australian Drinking Water Guidelines 2004</w:t>
      </w:r>
    </w:p>
    <w:p w14:paraId="157BC511" w14:textId="77777777" w:rsidR="00530B67" w:rsidRPr="00530B67" w:rsidRDefault="00530B67" w:rsidP="001B7398">
      <w:pPr>
        <w:pStyle w:val="FSCDraftingitem"/>
      </w:pPr>
      <w:r w:rsidRPr="00530B67">
        <w:tab/>
        <w:t>substitute:</w:t>
      </w:r>
    </w:p>
    <w:p w14:paraId="4843CF87" w14:textId="77777777" w:rsidR="00530B67" w:rsidRPr="00530B67" w:rsidRDefault="00530B67" w:rsidP="00E5744C">
      <w:pPr>
        <w:pStyle w:val="FSCtMain"/>
        <w:rPr>
          <w:i/>
        </w:rPr>
      </w:pPr>
      <w:r w:rsidRPr="00530B67">
        <w:rPr>
          <w:i/>
          <w:iCs w:val="0"/>
        </w:rPr>
        <w:t>Australian</w:t>
      </w:r>
      <w:r w:rsidRPr="00530B67">
        <w:rPr>
          <w:i/>
        </w:rPr>
        <w:t xml:space="preserve"> Drinking Water Guidelines 2011</w:t>
      </w:r>
    </w:p>
    <w:p w14:paraId="6C7D4A47" w14:textId="77777777" w:rsidR="00530B67" w:rsidRPr="00530B67" w:rsidRDefault="00530B67" w:rsidP="00530B67">
      <w:pPr>
        <w:spacing w:before="120" w:after="120"/>
        <w:ind w:left="851" w:hanging="851"/>
        <w:rPr>
          <w:b/>
          <w:sz w:val="20"/>
          <w:szCs w:val="20"/>
          <w:lang w:bidi="ar-SA"/>
        </w:rPr>
      </w:pPr>
    </w:p>
    <w:p w14:paraId="1D9776A3" w14:textId="77777777" w:rsidR="00530B67" w:rsidRPr="00530B67" w:rsidRDefault="00530B67" w:rsidP="00197B98">
      <w:pPr>
        <w:pStyle w:val="FSCDraftingitemheading"/>
      </w:pPr>
      <w:r w:rsidRPr="00530B67">
        <w:t>Standard 4.2.3</w:t>
      </w:r>
      <w:r w:rsidRPr="00530B67">
        <w:tab/>
        <w:t>Production and Processing Standard for Meat</w:t>
      </w:r>
    </w:p>
    <w:p w14:paraId="56AF13F8" w14:textId="77777777" w:rsidR="00530B67" w:rsidRPr="00530B67" w:rsidRDefault="00530B67" w:rsidP="00197B98">
      <w:pPr>
        <w:pStyle w:val="FSCDraftingitemheading"/>
      </w:pPr>
      <w:r w:rsidRPr="00530B67">
        <w:t>[14]</w:t>
      </w:r>
      <w:r w:rsidRPr="00530B67">
        <w:tab/>
        <w:t>Clause 4 (Table 2, editorial note)</w:t>
      </w:r>
    </w:p>
    <w:p w14:paraId="159DF93F" w14:textId="77777777" w:rsidR="00530B67" w:rsidRPr="00530B67" w:rsidRDefault="00530B67" w:rsidP="001B7398">
      <w:pPr>
        <w:pStyle w:val="FSCDraftingitem"/>
      </w:pPr>
      <w:r w:rsidRPr="00530B67">
        <w:tab/>
        <w:t>Omit:</w:t>
      </w:r>
    </w:p>
    <w:p w14:paraId="686FABCB" w14:textId="77777777" w:rsidR="00530B67" w:rsidRPr="00530B67" w:rsidRDefault="00530B67" w:rsidP="00E868F1">
      <w:pPr>
        <w:pStyle w:val="FSCtblMain"/>
      </w:pPr>
      <w:r w:rsidRPr="00530B67">
        <w:t>Export Control (Meat and Meat Products) Orders 2005</w:t>
      </w:r>
    </w:p>
    <w:p w14:paraId="1F1E76A5" w14:textId="77777777" w:rsidR="00530B67" w:rsidRPr="00530B67" w:rsidRDefault="00530B67" w:rsidP="001B7398">
      <w:pPr>
        <w:pStyle w:val="FSCDraftingitem"/>
      </w:pPr>
      <w:r w:rsidRPr="00530B67">
        <w:tab/>
        <w:t>substitute:</w:t>
      </w:r>
    </w:p>
    <w:p w14:paraId="6EBA60FE" w14:textId="77777777" w:rsidR="00530B67" w:rsidRPr="00530B67" w:rsidRDefault="00530B67" w:rsidP="00E868F1">
      <w:pPr>
        <w:pStyle w:val="FSCtblMain"/>
        <w:rPr>
          <w:i/>
          <w:iCs/>
          <w:sz w:val="20"/>
          <w:szCs w:val="22"/>
        </w:rPr>
      </w:pPr>
      <w:r w:rsidRPr="00530B67">
        <w:rPr>
          <w:i/>
          <w:iCs/>
        </w:rPr>
        <w:t>Export</w:t>
      </w:r>
      <w:r w:rsidRPr="00530B67">
        <w:rPr>
          <w:i/>
          <w:iCs/>
          <w:sz w:val="20"/>
          <w:szCs w:val="22"/>
        </w:rPr>
        <w:t xml:space="preserve"> Control (Meat and Meat Product) Rules 2021</w:t>
      </w:r>
    </w:p>
    <w:p w14:paraId="7F27F44B" w14:textId="77777777" w:rsidR="00530B67" w:rsidRPr="00530B67" w:rsidRDefault="00530B67" w:rsidP="00530B67">
      <w:pPr>
        <w:spacing w:before="120" w:after="120"/>
        <w:ind w:left="851" w:hanging="851"/>
        <w:rPr>
          <w:b/>
          <w:sz w:val="20"/>
          <w:szCs w:val="20"/>
          <w:lang w:bidi="ar-SA"/>
        </w:rPr>
      </w:pPr>
    </w:p>
    <w:p w14:paraId="3AD3E38C" w14:textId="77777777" w:rsidR="00530B67" w:rsidRPr="00530B67" w:rsidRDefault="00530B67" w:rsidP="00197B98">
      <w:pPr>
        <w:pStyle w:val="FSCDraftingitemheading"/>
      </w:pPr>
      <w:r w:rsidRPr="00530B67">
        <w:t>Standard 4.2.8</w:t>
      </w:r>
      <w:r w:rsidRPr="00530B67">
        <w:tab/>
        <w:t>Primary Production and Processing Standard for Leafy Vegetables</w:t>
      </w:r>
    </w:p>
    <w:p w14:paraId="6DCD46E7" w14:textId="77777777" w:rsidR="00530B67" w:rsidRPr="00530B67" w:rsidRDefault="00530B67" w:rsidP="00197B98">
      <w:pPr>
        <w:pStyle w:val="FSCDraftingitemheading"/>
      </w:pPr>
      <w:r w:rsidRPr="00530B67">
        <w:t>[15]</w:t>
      </w:r>
      <w:r w:rsidRPr="00530B67">
        <w:tab/>
        <w:t>Section 4.2.9—8 (section heading)</w:t>
      </w:r>
    </w:p>
    <w:p w14:paraId="7725EBF9" w14:textId="77777777" w:rsidR="00530B67" w:rsidRPr="00530B67" w:rsidRDefault="00530B67" w:rsidP="001B7398">
      <w:pPr>
        <w:pStyle w:val="FSCDraftingitem"/>
      </w:pPr>
      <w:r w:rsidRPr="00530B67">
        <w:tab/>
        <w:t>Omit “4.2.9—8”, substitute “4.2.8—8”</w:t>
      </w:r>
    </w:p>
    <w:p w14:paraId="04DAAA91" w14:textId="77777777" w:rsidR="00530B67" w:rsidRPr="00530B67" w:rsidRDefault="00530B67" w:rsidP="00530B67">
      <w:pPr>
        <w:spacing w:before="120" w:after="120"/>
        <w:ind w:left="851" w:hanging="851"/>
        <w:rPr>
          <w:b/>
          <w:sz w:val="20"/>
          <w:szCs w:val="20"/>
          <w:lang w:bidi="ar-SA"/>
        </w:rPr>
      </w:pPr>
    </w:p>
    <w:p w14:paraId="53CE40EF" w14:textId="77777777" w:rsidR="00530B67" w:rsidRPr="00530B67" w:rsidRDefault="00530B67" w:rsidP="00197B98">
      <w:pPr>
        <w:pStyle w:val="FSCDraftingitemheading"/>
      </w:pPr>
      <w:r w:rsidRPr="00530B67">
        <w:t>Schedule 3 Identity and purity</w:t>
      </w:r>
    </w:p>
    <w:p w14:paraId="2A9DFCDF" w14:textId="77777777" w:rsidR="00530B67" w:rsidRPr="00530B67" w:rsidRDefault="00530B67" w:rsidP="00197B98">
      <w:pPr>
        <w:pStyle w:val="FSCDraftingitemheading"/>
      </w:pPr>
      <w:r w:rsidRPr="00530B67">
        <w:t>[16]</w:t>
      </w:r>
      <w:r w:rsidRPr="00530B67">
        <w:tab/>
        <w:t>Subparagraph S3—2(1)(b)(xiv)</w:t>
      </w:r>
    </w:p>
    <w:p w14:paraId="09FACE02" w14:textId="77777777" w:rsidR="00530B67" w:rsidRPr="00530B67" w:rsidRDefault="00530B67" w:rsidP="001B7398">
      <w:pPr>
        <w:pStyle w:val="FSCDraftingitem"/>
      </w:pPr>
      <w:r w:rsidRPr="00530B67">
        <w:tab/>
        <w:t>Repeal the subparagraph, substitute:</w:t>
      </w:r>
    </w:p>
    <w:p w14:paraId="75BDD1C7" w14:textId="77777777" w:rsidR="00530B67" w:rsidRPr="00530B67" w:rsidRDefault="00530B67" w:rsidP="00830FA0">
      <w:pPr>
        <w:pStyle w:val="FSCtSubpara"/>
      </w:pPr>
      <w:r w:rsidRPr="00530B67">
        <w:tab/>
      </w:r>
      <w:r w:rsidRPr="00530B67">
        <w:tab/>
        <w:t xml:space="preserve">      (xiv)</w:t>
      </w:r>
      <w:r w:rsidRPr="00530B67">
        <w:tab/>
        <w:t>FAO JECFA Monographs 23 (2019);</w:t>
      </w:r>
    </w:p>
    <w:p w14:paraId="0E25C232" w14:textId="77777777" w:rsidR="00530B67" w:rsidRPr="00530B67" w:rsidRDefault="00530B67" w:rsidP="00830FA0">
      <w:pPr>
        <w:pStyle w:val="FSCtSubpara"/>
      </w:pPr>
      <w:r w:rsidRPr="00530B67">
        <w:tab/>
      </w:r>
      <w:r w:rsidRPr="00530B67">
        <w:tab/>
        <w:t xml:space="preserve">      (xv)</w:t>
      </w:r>
      <w:r w:rsidRPr="00530B67">
        <w:tab/>
        <w:t xml:space="preserve">FAO JECFA Monographs 25 (2020); </w:t>
      </w:r>
    </w:p>
    <w:p w14:paraId="5997B83A" w14:textId="77777777" w:rsidR="00530B67" w:rsidRPr="00530B67" w:rsidRDefault="00530B67" w:rsidP="00830FA0">
      <w:pPr>
        <w:pStyle w:val="FSCtSubpara"/>
      </w:pPr>
      <w:r w:rsidRPr="00530B67">
        <w:tab/>
      </w:r>
      <w:r w:rsidRPr="00530B67">
        <w:tab/>
        <w:t xml:space="preserve">      (xvi)</w:t>
      </w:r>
      <w:r w:rsidRPr="00530B67">
        <w:tab/>
        <w:t>FAO JECFA Monographs 26 (2021); or</w:t>
      </w:r>
    </w:p>
    <w:p w14:paraId="2C836E86" w14:textId="77777777" w:rsidR="00530B67" w:rsidRPr="00530B67" w:rsidRDefault="00530B67" w:rsidP="00530B67">
      <w:pPr>
        <w:widowControl/>
        <w:tabs>
          <w:tab w:val="left" w:pos="851"/>
        </w:tabs>
        <w:spacing w:before="120" w:after="120"/>
        <w:rPr>
          <w:sz w:val="20"/>
          <w:szCs w:val="20"/>
          <w:lang w:bidi="ar-SA"/>
        </w:rPr>
      </w:pPr>
    </w:p>
    <w:p w14:paraId="4933E245" w14:textId="77777777" w:rsidR="00530B67" w:rsidRPr="00530B67" w:rsidRDefault="00530B67" w:rsidP="00197B98">
      <w:pPr>
        <w:pStyle w:val="FSCDraftingitemheading"/>
      </w:pPr>
      <w:r w:rsidRPr="00530B67">
        <w:t>[17]</w:t>
      </w:r>
      <w:r w:rsidRPr="00530B67">
        <w:tab/>
        <w:t>Paragraph S3—2(1)(c)</w:t>
      </w:r>
    </w:p>
    <w:p w14:paraId="667C57DE" w14:textId="77777777" w:rsidR="00530B67" w:rsidRPr="00530B67" w:rsidRDefault="00530B67" w:rsidP="001B7398">
      <w:pPr>
        <w:pStyle w:val="FSCDraftingitem"/>
      </w:pPr>
      <w:r w:rsidRPr="00530B67">
        <w:tab/>
        <w:t>Repeal the paragraph, substitute:</w:t>
      </w:r>
    </w:p>
    <w:p w14:paraId="4B43C194" w14:textId="4CD61143" w:rsidR="00530B67" w:rsidRPr="00530B67" w:rsidRDefault="00830FA0" w:rsidP="00830FA0">
      <w:pPr>
        <w:pStyle w:val="FSCtPara"/>
        <w:ind w:left="3119" w:hanging="3119"/>
      </w:pPr>
      <w:r>
        <w:tab/>
        <w:t xml:space="preserve">                  </w:t>
      </w:r>
      <w:r w:rsidR="00530B67" w:rsidRPr="00530B67">
        <w:t>(c)</w:t>
      </w:r>
      <w:r>
        <w:tab/>
      </w:r>
      <w:r w:rsidR="00530B67" w:rsidRPr="00530B67">
        <w:t>United States Pharmacopeial Convention (2022) Food chemicals codex. 13th ed, United States Pharmacopeial Convention, Rockville, MD; or</w:t>
      </w:r>
    </w:p>
    <w:p w14:paraId="0166341E" w14:textId="77777777" w:rsidR="00530B67" w:rsidRPr="00530B67" w:rsidRDefault="00530B67" w:rsidP="00530B67">
      <w:pPr>
        <w:spacing w:before="120" w:after="120"/>
        <w:ind w:left="851" w:hanging="851"/>
        <w:rPr>
          <w:b/>
          <w:sz w:val="20"/>
          <w:szCs w:val="20"/>
          <w:lang w:bidi="ar-SA"/>
        </w:rPr>
      </w:pPr>
    </w:p>
    <w:p w14:paraId="48EA2536" w14:textId="77777777" w:rsidR="00530B67" w:rsidRPr="00530B67" w:rsidRDefault="00530B67" w:rsidP="00197B98">
      <w:pPr>
        <w:pStyle w:val="FSCDraftingitemheading"/>
      </w:pPr>
      <w:r w:rsidRPr="00530B67">
        <w:t>[18]</w:t>
      </w:r>
      <w:r w:rsidRPr="00530B67">
        <w:tab/>
        <w:t>Paragraph S3—3(j)</w:t>
      </w:r>
    </w:p>
    <w:p w14:paraId="59A258F1" w14:textId="77777777" w:rsidR="00530B67" w:rsidRPr="00530B67" w:rsidRDefault="00530B67" w:rsidP="00530B67">
      <w:pPr>
        <w:widowControl/>
        <w:tabs>
          <w:tab w:val="left" w:pos="851"/>
        </w:tabs>
        <w:spacing w:before="120" w:after="120"/>
        <w:rPr>
          <w:sz w:val="20"/>
          <w:szCs w:val="20"/>
          <w:lang w:bidi="ar-SA"/>
        </w:rPr>
      </w:pPr>
      <w:r w:rsidRPr="00530B67">
        <w:rPr>
          <w:sz w:val="20"/>
          <w:szCs w:val="20"/>
          <w:lang w:bidi="ar-SA"/>
        </w:rPr>
        <w:tab/>
        <w:t>Repeal the paragraph, substitute:</w:t>
      </w:r>
    </w:p>
    <w:p w14:paraId="443AF010" w14:textId="0037A43A" w:rsidR="00530B67" w:rsidRPr="00530B67" w:rsidRDefault="00D079AC" w:rsidP="00D079AC">
      <w:pPr>
        <w:pStyle w:val="FSCtPara"/>
        <w:ind w:left="3119" w:hanging="3119"/>
      </w:pPr>
      <w:r>
        <w:tab/>
        <w:t xml:space="preserve">                  </w:t>
      </w:r>
      <w:r w:rsidR="00530B67" w:rsidRPr="00530B67">
        <w:t>(j)</w:t>
      </w:r>
      <w:r>
        <w:tab/>
      </w:r>
      <w:r w:rsidR="00530B67" w:rsidRPr="00530B67">
        <w:t xml:space="preserve">the International Oenological Codex (2022), Organisation Internationale de la </w:t>
      </w:r>
      <w:proofErr w:type="spellStart"/>
      <w:r w:rsidR="00530B67" w:rsidRPr="00530B67">
        <w:t>Vigne</w:t>
      </w:r>
      <w:proofErr w:type="spellEnd"/>
      <w:r w:rsidR="00530B67" w:rsidRPr="00530B67">
        <w:t xml:space="preserve"> et du Vin (OIV).</w:t>
      </w:r>
    </w:p>
    <w:p w14:paraId="24187FD7" w14:textId="77777777" w:rsidR="00530B67" w:rsidRPr="00530B67" w:rsidRDefault="00530B67" w:rsidP="00530B67">
      <w:pPr>
        <w:widowControl/>
        <w:tabs>
          <w:tab w:val="left" w:pos="993"/>
        </w:tabs>
        <w:spacing w:before="120" w:after="120"/>
        <w:ind w:left="1701" w:hanging="1701"/>
        <w:rPr>
          <w:sz w:val="20"/>
          <w:szCs w:val="20"/>
          <w:lang w:bidi="ar-SA"/>
        </w:rPr>
      </w:pPr>
    </w:p>
    <w:p w14:paraId="5AED0F67" w14:textId="77777777" w:rsidR="00530B67" w:rsidRPr="00530B67" w:rsidRDefault="00530B67" w:rsidP="00197B98">
      <w:pPr>
        <w:pStyle w:val="FSCDraftingitemheading"/>
      </w:pPr>
      <w:r w:rsidRPr="00530B67">
        <w:t>[19]</w:t>
      </w:r>
      <w:r w:rsidRPr="00530B67">
        <w:tab/>
        <w:t>Sections S3—13 (heading), S3—21 (heading), S3—22 (heading)</w:t>
      </w:r>
    </w:p>
    <w:p w14:paraId="5374DA61" w14:textId="77777777" w:rsidR="00530B67" w:rsidRPr="00530B67" w:rsidRDefault="00530B67" w:rsidP="001B7398">
      <w:pPr>
        <w:pStyle w:val="FSCDraftingitem"/>
      </w:pPr>
      <w:r w:rsidRPr="00530B67">
        <w:tab/>
        <w:t>Omit “</w:t>
      </w:r>
      <w:r w:rsidRPr="00530B67">
        <w:rPr>
          <w:i/>
          <w:iCs/>
        </w:rPr>
        <w:t>sp</w:t>
      </w:r>
      <w:r w:rsidRPr="00530B67">
        <w:t>.”, substitute “sp.”</w:t>
      </w:r>
    </w:p>
    <w:p w14:paraId="44EA8DA9" w14:textId="77777777" w:rsidR="00530B67" w:rsidRPr="00530B67" w:rsidRDefault="00530B67" w:rsidP="00530B67">
      <w:pPr>
        <w:spacing w:before="120" w:after="120"/>
        <w:ind w:left="851" w:hanging="851"/>
        <w:rPr>
          <w:b/>
          <w:sz w:val="20"/>
          <w:szCs w:val="20"/>
          <w:lang w:bidi="ar-SA"/>
        </w:rPr>
      </w:pPr>
    </w:p>
    <w:p w14:paraId="75495EBD" w14:textId="77777777" w:rsidR="00530B67" w:rsidRPr="00530B67" w:rsidRDefault="00530B67" w:rsidP="00197B98">
      <w:pPr>
        <w:pStyle w:val="FSCDraftingitemheading"/>
      </w:pPr>
      <w:r w:rsidRPr="00530B67">
        <w:t>[20]</w:t>
      </w:r>
      <w:r w:rsidRPr="00530B67">
        <w:tab/>
        <w:t>Subparagraphs S3—14(2)(f)(iv) and S3—41(q)(v)</w:t>
      </w:r>
    </w:p>
    <w:p w14:paraId="1AC46A67" w14:textId="77777777" w:rsidR="00530B67" w:rsidRPr="00530B67" w:rsidRDefault="00530B67" w:rsidP="001B7398">
      <w:pPr>
        <w:pStyle w:val="FSCDraftingitem"/>
      </w:pPr>
      <w:r w:rsidRPr="00530B67">
        <w:tab/>
        <w:t>Omit “</w:t>
      </w:r>
      <w:r w:rsidRPr="00530B67">
        <w:rPr>
          <w:i/>
          <w:iCs/>
        </w:rPr>
        <w:t>listeria</w:t>
      </w:r>
      <w:r w:rsidRPr="00530B67">
        <w:t>”, substitute “</w:t>
      </w:r>
      <w:r w:rsidRPr="00530B67">
        <w:rPr>
          <w:i/>
          <w:iCs/>
        </w:rPr>
        <w:t>Listeria</w:t>
      </w:r>
      <w:r w:rsidRPr="00530B67">
        <w:t>”</w:t>
      </w:r>
    </w:p>
    <w:p w14:paraId="7C32C110" w14:textId="77777777" w:rsidR="00530B67" w:rsidRPr="00530B67" w:rsidRDefault="00530B67" w:rsidP="00530B67">
      <w:pPr>
        <w:widowControl/>
        <w:tabs>
          <w:tab w:val="left" w:pos="851"/>
        </w:tabs>
        <w:spacing w:before="120" w:after="120"/>
        <w:rPr>
          <w:sz w:val="20"/>
          <w:szCs w:val="20"/>
          <w:lang w:bidi="ar-SA"/>
        </w:rPr>
      </w:pPr>
    </w:p>
    <w:p w14:paraId="4225863D" w14:textId="77777777" w:rsidR="00530B67" w:rsidRPr="00530B67" w:rsidRDefault="00530B67" w:rsidP="00465AAA">
      <w:pPr>
        <w:pStyle w:val="FSCDraftingitemheading"/>
      </w:pPr>
      <w:r w:rsidRPr="00530B67">
        <w:t>[21]</w:t>
      </w:r>
      <w:r w:rsidRPr="00530B67">
        <w:tab/>
        <w:t>Subparagraphs S3—14(2)(f)(vi) and S3—41(q)(vi)</w:t>
      </w:r>
    </w:p>
    <w:p w14:paraId="349B9CB7" w14:textId="77777777" w:rsidR="00530B67" w:rsidRPr="00530B67" w:rsidRDefault="00530B67" w:rsidP="00F37104">
      <w:pPr>
        <w:pStyle w:val="FSCDraftingitem"/>
      </w:pPr>
      <w:r w:rsidRPr="00530B67">
        <w:tab/>
        <w:t>Omit “</w:t>
      </w:r>
      <w:r w:rsidRPr="00530B67">
        <w:rPr>
          <w:i/>
          <w:iCs/>
        </w:rPr>
        <w:t>bacillus cereus</w:t>
      </w:r>
      <w:r w:rsidRPr="00530B67">
        <w:t>”, substitute “</w:t>
      </w:r>
      <w:r w:rsidRPr="00530B67">
        <w:rPr>
          <w:i/>
          <w:iCs/>
        </w:rPr>
        <w:t>Bacillus cereus</w:t>
      </w:r>
      <w:r w:rsidRPr="00530B67">
        <w:t>”</w:t>
      </w:r>
    </w:p>
    <w:p w14:paraId="50D7E80E" w14:textId="77777777" w:rsidR="00530B67" w:rsidRPr="00530B67" w:rsidRDefault="00530B67" w:rsidP="00530B67">
      <w:pPr>
        <w:widowControl/>
        <w:tabs>
          <w:tab w:val="left" w:pos="851"/>
        </w:tabs>
        <w:spacing w:before="120" w:after="120"/>
        <w:rPr>
          <w:sz w:val="20"/>
          <w:szCs w:val="20"/>
          <w:lang w:bidi="ar-SA"/>
        </w:rPr>
      </w:pPr>
    </w:p>
    <w:p w14:paraId="05EE372F" w14:textId="77777777" w:rsidR="00530B67" w:rsidRPr="00530B67" w:rsidRDefault="00530B67" w:rsidP="00465AAA">
      <w:pPr>
        <w:pStyle w:val="FSCDraftingitemheading"/>
      </w:pPr>
      <w:r w:rsidRPr="00530B67">
        <w:t>[22]</w:t>
      </w:r>
      <w:r w:rsidRPr="00530B67">
        <w:tab/>
        <w:t>Subparagraphs S3—18(</w:t>
      </w:r>
      <w:proofErr w:type="spellStart"/>
      <w:r w:rsidRPr="00530B67">
        <w:t>i</w:t>
      </w:r>
      <w:proofErr w:type="spellEnd"/>
      <w:r w:rsidRPr="00530B67">
        <w:t>)(iv), S3—26(l)(iii), S3—27(2)(d)(v) and S3—41(q)(</w:t>
      </w:r>
      <w:proofErr w:type="spellStart"/>
      <w:r w:rsidRPr="00530B67">
        <w:t>i</w:t>
      </w:r>
      <w:proofErr w:type="spellEnd"/>
      <w:r w:rsidRPr="00530B67">
        <w:t>)</w:t>
      </w:r>
    </w:p>
    <w:p w14:paraId="1EC7AE3D" w14:textId="77777777" w:rsidR="00530B67" w:rsidRPr="00530B67" w:rsidRDefault="00530B67" w:rsidP="00F37104">
      <w:pPr>
        <w:pStyle w:val="FSCDraftingitem"/>
      </w:pPr>
      <w:r w:rsidRPr="00530B67">
        <w:tab/>
        <w:t>Omit “</w:t>
      </w:r>
      <w:r w:rsidRPr="00530B67">
        <w:rPr>
          <w:i/>
          <w:iCs/>
        </w:rPr>
        <w:t>salmonella</w:t>
      </w:r>
      <w:r w:rsidRPr="00530B67">
        <w:t>”, substitute “</w:t>
      </w:r>
      <w:r w:rsidRPr="00530B67">
        <w:rPr>
          <w:i/>
          <w:iCs/>
        </w:rPr>
        <w:t>Salmonella</w:t>
      </w:r>
      <w:r w:rsidRPr="00530B67">
        <w:t>”</w:t>
      </w:r>
    </w:p>
    <w:p w14:paraId="6D741B6C" w14:textId="77777777" w:rsidR="00530B67" w:rsidRPr="00530B67" w:rsidRDefault="00530B67" w:rsidP="00530B67">
      <w:pPr>
        <w:widowControl/>
        <w:tabs>
          <w:tab w:val="left" w:pos="851"/>
        </w:tabs>
        <w:spacing w:before="120" w:after="120"/>
        <w:rPr>
          <w:sz w:val="20"/>
          <w:szCs w:val="20"/>
          <w:lang w:bidi="ar-SA"/>
        </w:rPr>
      </w:pPr>
    </w:p>
    <w:p w14:paraId="1A4CE018" w14:textId="77777777" w:rsidR="00530B67" w:rsidRPr="00530B67" w:rsidRDefault="00530B67" w:rsidP="00465AAA">
      <w:pPr>
        <w:pStyle w:val="FSCDraftingitemheading"/>
      </w:pPr>
      <w:r w:rsidRPr="00530B67">
        <w:t>[23]</w:t>
      </w:r>
      <w:r w:rsidRPr="00530B67">
        <w:tab/>
        <w:t>Subparagraphs S3—26(l)(</w:t>
      </w:r>
      <w:proofErr w:type="spellStart"/>
      <w:r w:rsidRPr="00530B67">
        <w:t>i</w:t>
      </w:r>
      <w:proofErr w:type="spellEnd"/>
      <w:r w:rsidRPr="00530B67">
        <w:t>) and S3—44(2)(h)(</w:t>
      </w:r>
      <w:proofErr w:type="spellStart"/>
      <w:r w:rsidRPr="00530B67">
        <w:t>i</w:t>
      </w:r>
      <w:proofErr w:type="spellEnd"/>
      <w:r w:rsidRPr="00530B67">
        <w:t>)</w:t>
      </w:r>
    </w:p>
    <w:p w14:paraId="123DB4E4" w14:textId="77777777" w:rsidR="00530B67" w:rsidRPr="00530B67" w:rsidRDefault="00530B67" w:rsidP="00F37104">
      <w:pPr>
        <w:pStyle w:val="FSCDraftingitem"/>
      </w:pPr>
      <w:r w:rsidRPr="00530B67">
        <w:tab/>
        <w:t>Omit “standard plate count”, substitute “*SPC”</w:t>
      </w:r>
    </w:p>
    <w:p w14:paraId="64513CD5" w14:textId="77777777" w:rsidR="00530B67" w:rsidRPr="00530B67" w:rsidRDefault="00530B67" w:rsidP="00530B67">
      <w:pPr>
        <w:widowControl/>
        <w:tabs>
          <w:tab w:val="left" w:pos="851"/>
        </w:tabs>
        <w:spacing w:before="120" w:after="120"/>
        <w:rPr>
          <w:sz w:val="20"/>
          <w:szCs w:val="20"/>
          <w:lang w:bidi="ar-SA"/>
        </w:rPr>
      </w:pPr>
    </w:p>
    <w:p w14:paraId="1B97A573" w14:textId="77777777" w:rsidR="00530B67" w:rsidRPr="00530B67" w:rsidRDefault="00530B67" w:rsidP="00465AAA">
      <w:pPr>
        <w:pStyle w:val="FSCDraftingitemheading"/>
      </w:pPr>
      <w:r w:rsidRPr="00530B67">
        <w:t>[24]</w:t>
      </w:r>
      <w:r w:rsidRPr="00530B67">
        <w:tab/>
        <w:t xml:space="preserve">Subparagraphs S3—27(2)(d)(iv) and S3—39(A)(d)(ii) </w:t>
      </w:r>
    </w:p>
    <w:p w14:paraId="23B3001A" w14:textId="77777777" w:rsidR="00530B67" w:rsidRPr="00530B67" w:rsidRDefault="00530B67" w:rsidP="00F37104">
      <w:pPr>
        <w:pStyle w:val="FSCDraftingitem"/>
      </w:pPr>
      <w:r w:rsidRPr="00530B67">
        <w:tab/>
        <w:t>Omit “</w:t>
      </w:r>
      <w:r w:rsidRPr="00530B67">
        <w:rPr>
          <w:i/>
          <w:iCs/>
        </w:rPr>
        <w:t>E. coli</w:t>
      </w:r>
      <w:r w:rsidRPr="00530B67">
        <w:t>”, substitute “</w:t>
      </w:r>
      <w:r w:rsidRPr="00530B67">
        <w:rPr>
          <w:i/>
          <w:iCs/>
        </w:rPr>
        <w:t>Escherichia coli</w:t>
      </w:r>
      <w:r w:rsidRPr="00530B67">
        <w:t>”</w:t>
      </w:r>
    </w:p>
    <w:p w14:paraId="25179853" w14:textId="77777777" w:rsidR="00530B67" w:rsidRPr="00530B67" w:rsidRDefault="00530B67" w:rsidP="00530B67">
      <w:pPr>
        <w:spacing w:before="120" w:after="120"/>
        <w:ind w:left="851" w:hanging="851"/>
        <w:rPr>
          <w:b/>
          <w:sz w:val="20"/>
          <w:szCs w:val="20"/>
          <w:lang w:bidi="ar-SA"/>
        </w:rPr>
      </w:pPr>
    </w:p>
    <w:p w14:paraId="153B6872" w14:textId="77777777" w:rsidR="00530B67" w:rsidRPr="00530B67" w:rsidRDefault="00530B67" w:rsidP="00465AAA">
      <w:pPr>
        <w:pStyle w:val="FSCDraftingitemheading"/>
      </w:pPr>
      <w:r w:rsidRPr="00530B67">
        <w:t>[25]</w:t>
      </w:r>
      <w:r w:rsidRPr="00530B67">
        <w:tab/>
        <w:t>Subparagraph S3—41(q)(iii)</w:t>
      </w:r>
    </w:p>
    <w:p w14:paraId="23228B0C" w14:textId="77777777" w:rsidR="00530B67" w:rsidRPr="00530B67" w:rsidRDefault="00530B67" w:rsidP="00F37104">
      <w:pPr>
        <w:pStyle w:val="FSCDraftingitem"/>
      </w:pPr>
      <w:r w:rsidRPr="00530B67">
        <w:tab/>
        <w:t>Omit “</w:t>
      </w:r>
      <w:proofErr w:type="spellStart"/>
      <w:r w:rsidRPr="00530B67">
        <w:t>enterobacteriaceae</w:t>
      </w:r>
      <w:proofErr w:type="spellEnd"/>
      <w:r w:rsidRPr="00530B67">
        <w:t>”, substitute “</w:t>
      </w:r>
      <w:r w:rsidRPr="00530B67">
        <w:rPr>
          <w:i/>
          <w:iCs/>
        </w:rPr>
        <w:t>Enterobacteriaceae</w:t>
      </w:r>
      <w:r w:rsidRPr="00530B67">
        <w:t>”</w:t>
      </w:r>
    </w:p>
    <w:p w14:paraId="7F3D1695" w14:textId="77777777" w:rsidR="00530B67" w:rsidRPr="00530B67" w:rsidRDefault="00530B67" w:rsidP="00530B67">
      <w:pPr>
        <w:widowControl/>
        <w:tabs>
          <w:tab w:val="left" w:pos="851"/>
        </w:tabs>
        <w:spacing w:before="120" w:after="120"/>
        <w:rPr>
          <w:sz w:val="20"/>
          <w:szCs w:val="20"/>
          <w:lang w:bidi="ar-SA"/>
        </w:rPr>
      </w:pPr>
    </w:p>
    <w:p w14:paraId="6598606A" w14:textId="77777777" w:rsidR="00530B67" w:rsidRPr="00530B67" w:rsidRDefault="00530B67" w:rsidP="00465AAA">
      <w:pPr>
        <w:pStyle w:val="FSCDraftingitemheading"/>
      </w:pPr>
      <w:r w:rsidRPr="00530B67">
        <w:t>[26]</w:t>
      </w:r>
      <w:r w:rsidRPr="00530B67">
        <w:tab/>
        <w:t>Subparagraph S3—41(q)(iv)</w:t>
      </w:r>
    </w:p>
    <w:p w14:paraId="21B7C051" w14:textId="77777777" w:rsidR="00530B67" w:rsidRPr="00530B67" w:rsidRDefault="00530B67" w:rsidP="00F37104">
      <w:pPr>
        <w:pStyle w:val="FSCDraftingitem"/>
      </w:pPr>
      <w:r w:rsidRPr="00530B67">
        <w:tab/>
        <w:t>Omit “</w:t>
      </w:r>
      <w:proofErr w:type="spellStart"/>
      <w:r w:rsidRPr="00530B67">
        <w:rPr>
          <w:i/>
          <w:iCs/>
        </w:rPr>
        <w:t>cronobacter</w:t>
      </w:r>
      <w:proofErr w:type="spellEnd"/>
      <w:r w:rsidRPr="00530B67">
        <w:t>”, substitute “</w:t>
      </w:r>
      <w:proofErr w:type="spellStart"/>
      <w:r w:rsidRPr="00530B67">
        <w:rPr>
          <w:i/>
          <w:iCs/>
        </w:rPr>
        <w:t>Cronobacter</w:t>
      </w:r>
      <w:proofErr w:type="spellEnd"/>
      <w:r w:rsidRPr="00530B67">
        <w:t>”</w:t>
      </w:r>
    </w:p>
    <w:p w14:paraId="215995EE" w14:textId="77777777" w:rsidR="00530B67" w:rsidRPr="00530B67" w:rsidRDefault="00530B67" w:rsidP="00530B67">
      <w:pPr>
        <w:spacing w:before="120" w:after="120"/>
        <w:ind w:left="851" w:hanging="851"/>
        <w:rPr>
          <w:b/>
          <w:sz w:val="20"/>
          <w:szCs w:val="20"/>
          <w:lang w:bidi="ar-SA"/>
        </w:rPr>
      </w:pPr>
    </w:p>
    <w:p w14:paraId="04D98F46" w14:textId="77777777" w:rsidR="00530B67" w:rsidRPr="00530B67" w:rsidRDefault="00530B67" w:rsidP="00530B67">
      <w:pPr>
        <w:spacing w:before="120" w:after="120"/>
        <w:ind w:left="851" w:hanging="851"/>
        <w:rPr>
          <w:b/>
          <w:sz w:val="20"/>
          <w:szCs w:val="20"/>
          <w:lang w:bidi="ar-SA"/>
        </w:rPr>
      </w:pPr>
      <w:r w:rsidRPr="00530B67">
        <w:rPr>
          <w:b/>
          <w:sz w:val="20"/>
          <w:szCs w:val="20"/>
          <w:lang w:bidi="ar-SA"/>
        </w:rPr>
        <w:t>[27]</w:t>
      </w:r>
      <w:r w:rsidRPr="00530B67">
        <w:rPr>
          <w:b/>
          <w:sz w:val="20"/>
          <w:szCs w:val="20"/>
          <w:lang w:bidi="ar-SA"/>
        </w:rPr>
        <w:tab/>
        <w:t>Paragraph S3—42(n)</w:t>
      </w:r>
      <w:r w:rsidRPr="00530B67">
        <w:rPr>
          <w:b/>
          <w:sz w:val="20"/>
          <w:szCs w:val="20"/>
          <w:lang w:bidi="ar-SA"/>
        </w:rPr>
        <w:tab/>
      </w:r>
    </w:p>
    <w:p w14:paraId="295A32AB" w14:textId="77777777" w:rsidR="00530B67" w:rsidRPr="00530B67" w:rsidRDefault="00530B67" w:rsidP="00F37104">
      <w:pPr>
        <w:pStyle w:val="FSCDraftingitem"/>
      </w:pPr>
      <w:r w:rsidRPr="00530B67">
        <w:tab/>
        <w:t>Repeal the paragraph, substitute:</w:t>
      </w:r>
    </w:p>
    <w:p w14:paraId="0456937B" w14:textId="2AB85C28" w:rsidR="00530B67" w:rsidRPr="00530B67" w:rsidRDefault="00530B67" w:rsidP="003A198F">
      <w:pPr>
        <w:pStyle w:val="FSCtPara"/>
        <w:tabs>
          <w:tab w:val="clear" w:pos="1701"/>
          <w:tab w:val="left" w:pos="1843"/>
        </w:tabs>
        <w:ind w:left="2835" w:hanging="2835"/>
      </w:pPr>
      <w:r w:rsidRPr="00530B67">
        <w:tab/>
      </w:r>
      <w:r w:rsidRPr="00530B67">
        <w:tab/>
        <w:t>(n)</w:t>
      </w:r>
      <w:r w:rsidRPr="00530B67">
        <w:tab/>
        <w:t>microbiological:</w:t>
      </w:r>
    </w:p>
    <w:p w14:paraId="0864827F" w14:textId="70C1D3DF" w:rsidR="00530B67" w:rsidRPr="00530B67" w:rsidRDefault="00530B67" w:rsidP="003A198F">
      <w:pPr>
        <w:pStyle w:val="FSCtSubpara"/>
      </w:pPr>
      <w:r w:rsidRPr="00530B67">
        <w:tab/>
      </w:r>
      <w:r w:rsidRPr="00530B67">
        <w:tab/>
      </w:r>
      <w:r w:rsidR="003A198F">
        <w:tab/>
      </w:r>
      <w:r w:rsidRPr="00530B67">
        <w:tab/>
        <w:t>(</w:t>
      </w:r>
      <w:proofErr w:type="spellStart"/>
      <w:r w:rsidRPr="00530B67">
        <w:t>i</w:t>
      </w:r>
      <w:proofErr w:type="spellEnd"/>
      <w:r w:rsidRPr="00530B67">
        <w:t xml:space="preserve">)    </w:t>
      </w:r>
      <w:r w:rsidRPr="00530B67">
        <w:rPr>
          <w:i/>
        </w:rPr>
        <w:t>Escherichia coli</w:t>
      </w:r>
      <w:r w:rsidRPr="00530B67">
        <w:t>—negative to test;</w:t>
      </w:r>
    </w:p>
    <w:p w14:paraId="12EEE714" w14:textId="56EA1848" w:rsidR="00530B67" w:rsidRPr="00530B67" w:rsidRDefault="00530B67" w:rsidP="003A198F">
      <w:pPr>
        <w:pStyle w:val="FSCtSubpara"/>
      </w:pPr>
      <w:r w:rsidRPr="00530B67">
        <w:tab/>
      </w:r>
      <w:r w:rsidRPr="00530B67">
        <w:tab/>
      </w:r>
      <w:r w:rsidR="003A198F">
        <w:tab/>
      </w:r>
      <w:r w:rsidRPr="00530B67">
        <w:tab/>
        <w:t xml:space="preserve">(ii)   </w:t>
      </w:r>
      <w:r w:rsidRPr="00530B67">
        <w:rPr>
          <w:i/>
        </w:rPr>
        <w:t>Salmonella</w:t>
      </w:r>
      <w:r w:rsidRPr="00530B67">
        <w:t xml:space="preserve"> spp.—negative to test;</w:t>
      </w:r>
    </w:p>
    <w:p w14:paraId="7223B2CB" w14:textId="6DB26F2D" w:rsidR="00530B67" w:rsidRPr="00530B67" w:rsidRDefault="00530B67" w:rsidP="003A198F">
      <w:pPr>
        <w:pStyle w:val="FSCtSubpara"/>
      </w:pPr>
      <w:r w:rsidRPr="00530B67">
        <w:tab/>
      </w:r>
      <w:r w:rsidRPr="00530B67">
        <w:tab/>
      </w:r>
      <w:r w:rsidR="003A198F">
        <w:tab/>
      </w:r>
      <w:r w:rsidRPr="00530B67">
        <w:tab/>
        <w:t xml:space="preserve">(iii)   </w:t>
      </w:r>
      <w:r w:rsidRPr="00530B67">
        <w:rPr>
          <w:i/>
        </w:rPr>
        <w:t>Listeria monocytogenes</w:t>
      </w:r>
      <w:r w:rsidRPr="00530B67">
        <w:t>—negative to test.</w:t>
      </w:r>
    </w:p>
    <w:p w14:paraId="5E8F0F5A" w14:textId="77777777" w:rsidR="00530B67" w:rsidRPr="00530B67" w:rsidRDefault="00530B67" w:rsidP="00530B67">
      <w:pPr>
        <w:widowControl/>
        <w:tabs>
          <w:tab w:val="left" w:pos="851"/>
        </w:tabs>
        <w:spacing w:before="120" w:after="120"/>
        <w:rPr>
          <w:sz w:val="20"/>
          <w:szCs w:val="20"/>
          <w:lang w:bidi="ar-SA"/>
        </w:rPr>
      </w:pPr>
    </w:p>
    <w:p w14:paraId="314CE868" w14:textId="77777777" w:rsidR="00530B67" w:rsidRPr="00530B67" w:rsidRDefault="00530B67" w:rsidP="00465AAA">
      <w:pPr>
        <w:pStyle w:val="FSCDraftingitemheading"/>
        <w:rPr>
          <w:bCs/>
        </w:rPr>
      </w:pPr>
      <w:r w:rsidRPr="00530B67">
        <w:t>[28]</w:t>
      </w:r>
      <w:r w:rsidRPr="00530B67">
        <w:tab/>
        <w:t>Paragraph S3—43(a)</w:t>
      </w:r>
    </w:p>
    <w:p w14:paraId="6E7CA928" w14:textId="77777777" w:rsidR="00530B67" w:rsidRPr="00530B67" w:rsidRDefault="00530B67" w:rsidP="00F37104">
      <w:pPr>
        <w:pStyle w:val="FSCDraftingitem"/>
      </w:pPr>
      <w:r w:rsidRPr="00530B67">
        <w:tab/>
        <w:t>Repeal the paragraph, substitute:</w:t>
      </w:r>
    </w:p>
    <w:p w14:paraId="3F725965" w14:textId="77777777" w:rsidR="00530B67" w:rsidRPr="00530B67" w:rsidRDefault="00530B67" w:rsidP="003A198F">
      <w:pPr>
        <w:pStyle w:val="FSCtPara"/>
      </w:pPr>
      <w:r w:rsidRPr="00530B67">
        <w:tab/>
      </w:r>
      <w:r w:rsidRPr="00530B67">
        <w:tab/>
      </w:r>
      <w:r w:rsidRPr="00530B67">
        <w:tab/>
      </w:r>
      <w:r w:rsidRPr="00530B67">
        <w:tab/>
        <w:t>(a)</w:t>
      </w:r>
      <w:r w:rsidRPr="00530B67">
        <w:tab/>
        <w:t>CAS number—2205009-17-0;</w:t>
      </w:r>
    </w:p>
    <w:p w14:paraId="20DC46E5" w14:textId="77777777" w:rsidR="00530B67" w:rsidRPr="00530B67" w:rsidRDefault="00530B67" w:rsidP="00530B67">
      <w:pPr>
        <w:spacing w:before="120" w:after="120"/>
        <w:ind w:left="851" w:hanging="851"/>
        <w:rPr>
          <w:b/>
          <w:sz w:val="20"/>
          <w:szCs w:val="20"/>
          <w:lang w:bidi="ar-SA"/>
        </w:rPr>
      </w:pPr>
    </w:p>
    <w:p w14:paraId="3D987271" w14:textId="77777777" w:rsidR="00530B67" w:rsidRPr="00530B67" w:rsidRDefault="00530B67" w:rsidP="00465AAA">
      <w:pPr>
        <w:pStyle w:val="FSCDraftingitemheading"/>
      </w:pPr>
      <w:r w:rsidRPr="00530B67">
        <w:t>[29]</w:t>
      </w:r>
      <w:r w:rsidRPr="00530B67">
        <w:tab/>
        <w:t>Subparagraph S3—44(2)(h)(iii)</w:t>
      </w:r>
    </w:p>
    <w:p w14:paraId="1C6B3C2F" w14:textId="77777777" w:rsidR="00530B67" w:rsidRPr="00530B67" w:rsidRDefault="00530B67" w:rsidP="00F37104">
      <w:pPr>
        <w:pStyle w:val="FSCDraftingitem"/>
      </w:pPr>
      <w:r w:rsidRPr="00530B67">
        <w:rPr>
          <w:b/>
        </w:rPr>
        <w:tab/>
      </w:r>
      <w:r w:rsidRPr="00530B67">
        <w:t>Omit “Escherichia coli”, substitute “</w:t>
      </w:r>
      <w:r w:rsidRPr="00530B67">
        <w:rPr>
          <w:i/>
          <w:iCs/>
        </w:rPr>
        <w:t>Escherichia coli</w:t>
      </w:r>
      <w:r w:rsidRPr="00530B67">
        <w:t>”</w:t>
      </w:r>
    </w:p>
    <w:p w14:paraId="58F09676" w14:textId="77777777" w:rsidR="00530B67" w:rsidRPr="00530B67" w:rsidRDefault="00530B67" w:rsidP="00530B67">
      <w:pPr>
        <w:widowControl/>
        <w:tabs>
          <w:tab w:val="left" w:pos="851"/>
        </w:tabs>
        <w:spacing w:before="120" w:after="120"/>
        <w:rPr>
          <w:sz w:val="20"/>
          <w:szCs w:val="20"/>
          <w:lang w:bidi="ar-SA"/>
        </w:rPr>
      </w:pPr>
    </w:p>
    <w:p w14:paraId="20C92055" w14:textId="77777777" w:rsidR="00530B67" w:rsidRPr="00530B67" w:rsidRDefault="00530B67" w:rsidP="00530B67">
      <w:pPr>
        <w:spacing w:before="120" w:after="120"/>
        <w:ind w:left="851" w:hanging="851"/>
        <w:rPr>
          <w:b/>
          <w:sz w:val="20"/>
          <w:szCs w:val="20"/>
          <w:lang w:bidi="ar-SA"/>
        </w:rPr>
      </w:pPr>
    </w:p>
    <w:p w14:paraId="5EEA3332" w14:textId="77777777" w:rsidR="00530B67" w:rsidRPr="00530B67" w:rsidRDefault="00530B67" w:rsidP="00530B67">
      <w:pPr>
        <w:spacing w:before="120" w:after="120"/>
        <w:ind w:left="851" w:hanging="851"/>
        <w:rPr>
          <w:b/>
          <w:sz w:val="20"/>
          <w:szCs w:val="20"/>
          <w:lang w:bidi="ar-SA"/>
        </w:rPr>
      </w:pPr>
    </w:p>
    <w:p w14:paraId="59BAE898" w14:textId="77777777" w:rsidR="00530B67" w:rsidRPr="00530B67" w:rsidRDefault="00530B67" w:rsidP="00530B67">
      <w:pPr>
        <w:spacing w:before="120" w:after="120"/>
        <w:ind w:left="851" w:hanging="851"/>
        <w:rPr>
          <w:b/>
          <w:sz w:val="20"/>
          <w:szCs w:val="20"/>
          <w:lang w:bidi="ar-SA"/>
        </w:rPr>
      </w:pPr>
    </w:p>
    <w:p w14:paraId="7279EA7B" w14:textId="77777777" w:rsidR="00530B67" w:rsidRPr="00530B67" w:rsidRDefault="00530B67" w:rsidP="00530B67">
      <w:pPr>
        <w:spacing w:before="120" w:after="120"/>
        <w:ind w:left="851" w:hanging="851"/>
        <w:rPr>
          <w:b/>
          <w:sz w:val="20"/>
          <w:szCs w:val="20"/>
          <w:lang w:bidi="ar-SA"/>
        </w:rPr>
      </w:pPr>
    </w:p>
    <w:p w14:paraId="4A2553AA" w14:textId="77777777" w:rsidR="00530B67" w:rsidRPr="00530B67" w:rsidRDefault="00530B67" w:rsidP="00465AAA">
      <w:pPr>
        <w:pStyle w:val="FSCDraftingitemheading"/>
      </w:pPr>
      <w:r w:rsidRPr="00530B67">
        <w:t>Schedule 14 Technological purposes performed by substances used as food additives</w:t>
      </w:r>
    </w:p>
    <w:p w14:paraId="150778A7" w14:textId="77777777" w:rsidR="00530B67" w:rsidRPr="00530B67" w:rsidRDefault="00530B67" w:rsidP="00465AAA">
      <w:pPr>
        <w:pStyle w:val="FSCDraftingitemheading"/>
      </w:pPr>
      <w:r w:rsidRPr="00530B67">
        <w:t>[30]</w:t>
      </w:r>
      <w:r w:rsidRPr="00530B67">
        <w:tab/>
        <w:t>Section S14—2 (table entry “Preservative”, column 2)</w:t>
      </w:r>
    </w:p>
    <w:p w14:paraId="5AAC549D" w14:textId="77777777" w:rsidR="00530B67" w:rsidRPr="00530B67" w:rsidRDefault="00530B67" w:rsidP="008E60F1">
      <w:pPr>
        <w:pStyle w:val="FSCDraftingitem"/>
      </w:pPr>
      <w:r w:rsidRPr="00530B67">
        <w:tab/>
        <w:t>Omit:</w:t>
      </w:r>
    </w:p>
    <w:p w14:paraId="203702D9" w14:textId="77777777" w:rsidR="00530B67" w:rsidRPr="00530B67" w:rsidRDefault="00530B67" w:rsidP="008E60F1">
      <w:pPr>
        <w:pStyle w:val="FSCtblMain"/>
      </w:pPr>
      <w:r w:rsidRPr="00530B67">
        <w:t xml:space="preserve">anti-microbial preservative, anti-mycotic agent, </w:t>
      </w:r>
    </w:p>
    <w:p w14:paraId="79750350" w14:textId="77777777" w:rsidR="00530B67" w:rsidRPr="00530B67" w:rsidRDefault="00530B67" w:rsidP="008E60F1">
      <w:pPr>
        <w:pStyle w:val="FSCDraftingitem"/>
      </w:pPr>
      <w:r w:rsidRPr="00530B67">
        <w:tab/>
        <w:t>substitute:</w:t>
      </w:r>
    </w:p>
    <w:p w14:paraId="190D1504" w14:textId="77777777" w:rsidR="00530B67" w:rsidRPr="00530B67" w:rsidRDefault="00530B67" w:rsidP="008E60F1">
      <w:pPr>
        <w:pStyle w:val="FSCtblMain"/>
      </w:pPr>
      <w:r w:rsidRPr="00530B67">
        <w:t xml:space="preserve">antimicrobial preservative, antimycotic agent, </w:t>
      </w:r>
    </w:p>
    <w:p w14:paraId="25EC0529" w14:textId="77777777" w:rsidR="00530B67" w:rsidRPr="00530B67" w:rsidRDefault="00530B67" w:rsidP="00530B67">
      <w:pPr>
        <w:widowControl/>
        <w:autoSpaceDE w:val="0"/>
        <w:autoSpaceDN w:val="0"/>
        <w:adjustRightInd w:val="0"/>
        <w:rPr>
          <w:rFonts w:cs="Arial"/>
          <w:color w:val="000000"/>
          <w:sz w:val="18"/>
          <w:szCs w:val="18"/>
          <w:lang w:val="en-AU" w:eastAsia="en-GB" w:bidi="ar-SA"/>
        </w:rPr>
      </w:pPr>
    </w:p>
    <w:p w14:paraId="6A8EAD0A" w14:textId="77777777" w:rsidR="00530B67" w:rsidRPr="00530B67" w:rsidRDefault="00530B67" w:rsidP="007F0753">
      <w:pPr>
        <w:pStyle w:val="FSCDraftingitemheading"/>
      </w:pPr>
      <w:r w:rsidRPr="00530B67">
        <w:t>Schedule 18 Processing aids</w:t>
      </w:r>
    </w:p>
    <w:p w14:paraId="7E914CD8" w14:textId="77777777" w:rsidR="00530B67" w:rsidRPr="00530B67" w:rsidRDefault="00530B67" w:rsidP="007F0753">
      <w:pPr>
        <w:pStyle w:val="FSCDraftingitemheading"/>
      </w:pPr>
      <w:r w:rsidRPr="00530B67">
        <w:t>[31]</w:t>
      </w:r>
      <w:r w:rsidRPr="00530B67">
        <w:tab/>
        <w:t>Subsection S18—4(2) (note 3)</w:t>
      </w:r>
    </w:p>
    <w:p w14:paraId="273DF01C" w14:textId="77777777" w:rsidR="00530B67" w:rsidRPr="00530B67" w:rsidRDefault="00530B67" w:rsidP="007F0753">
      <w:pPr>
        <w:pStyle w:val="FSCDraftingitem"/>
      </w:pPr>
      <w:r w:rsidRPr="00530B67">
        <w:tab/>
        <w:t>Repeal the note, substitute:</w:t>
      </w:r>
    </w:p>
    <w:p w14:paraId="0E311C8B" w14:textId="77777777" w:rsidR="00530B67" w:rsidRPr="00530B67" w:rsidRDefault="00530B67" w:rsidP="007F0753">
      <w:pPr>
        <w:pStyle w:val="FSCnMain"/>
      </w:pPr>
      <w:r w:rsidRPr="00530B67">
        <w:tab/>
      </w:r>
      <w:r w:rsidRPr="00530B67">
        <w:rPr>
          <w:b/>
          <w:bCs/>
          <w:i/>
          <w:iCs/>
        </w:rPr>
        <w:t>Note 3</w:t>
      </w:r>
      <w:r w:rsidRPr="00530B67">
        <w:tab/>
        <w:t>Some enzyme sources identified in this section are protein engineered. If such an enzyme is used as a processing aid, the resulting food may have as an ingredient a food produced using gene technology, and the requirements relating to foods produced using gene technology will apply—see Standard 1.2.1 and Standard 1.5.2. The relevant enzymes are the following:</w:t>
      </w:r>
    </w:p>
    <w:p w14:paraId="0D20C715" w14:textId="77777777" w:rsidR="00530B67" w:rsidRPr="00530B67" w:rsidRDefault="00530B67" w:rsidP="007F0753">
      <w:pPr>
        <w:pStyle w:val="FSCnMain"/>
        <w:ind w:left="4536"/>
      </w:pPr>
      <w:r w:rsidRPr="00530B67">
        <w:t>● Endo-1,4-beta-xylanase, protein engineered variant;</w:t>
      </w:r>
    </w:p>
    <w:p w14:paraId="3D822827" w14:textId="77777777" w:rsidR="00530B67" w:rsidRPr="00530B67" w:rsidRDefault="00530B67" w:rsidP="007F0753">
      <w:pPr>
        <w:pStyle w:val="FSCnMain"/>
        <w:ind w:left="4536"/>
      </w:pPr>
      <w:r w:rsidRPr="00530B67">
        <w:t>● Glycerophospholipid cholesterol acyltransferase, protein engineered variant;</w:t>
      </w:r>
    </w:p>
    <w:p w14:paraId="454B2A7F" w14:textId="77777777" w:rsidR="00530B67" w:rsidRPr="00530B67" w:rsidRDefault="00530B67" w:rsidP="007F0753">
      <w:pPr>
        <w:pStyle w:val="FSCnMain"/>
        <w:ind w:left="4536"/>
      </w:pPr>
      <w:r w:rsidRPr="00530B67">
        <w:t>● Lipase, triacylglycerol, protein engineered variant;</w:t>
      </w:r>
    </w:p>
    <w:p w14:paraId="6FAA2B2B" w14:textId="77777777" w:rsidR="00530B67" w:rsidRPr="00530B67" w:rsidRDefault="00530B67" w:rsidP="007F0753">
      <w:pPr>
        <w:pStyle w:val="FSCnMain"/>
        <w:ind w:left="4536"/>
      </w:pPr>
      <w:r w:rsidRPr="00530B67">
        <w:t xml:space="preserve">● </w:t>
      </w:r>
      <w:proofErr w:type="spellStart"/>
      <w:r w:rsidRPr="00530B67">
        <w:t>Maltotetraohydrolase</w:t>
      </w:r>
      <w:proofErr w:type="spellEnd"/>
      <w:r w:rsidRPr="00530B67">
        <w:t>, protein engineered variant.</w:t>
      </w:r>
    </w:p>
    <w:p w14:paraId="6E46F313" w14:textId="77777777" w:rsidR="00530B67" w:rsidRPr="00530B67" w:rsidRDefault="00530B67" w:rsidP="00530B67">
      <w:pPr>
        <w:widowControl/>
        <w:tabs>
          <w:tab w:val="left" w:pos="851"/>
        </w:tabs>
        <w:spacing w:before="120" w:after="120"/>
        <w:rPr>
          <w:sz w:val="20"/>
          <w:szCs w:val="20"/>
          <w:lang w:bidi="ar-SA"/>
        </w:rPr>
      </w:pPr>
    </w:p>
    <w:p w14:paraId="32E813D1" w14:textId="77777777" w:rsidR="00530B67" w:rsidRPr="00530B67" w:rsidRDefault="00530B67" w:rsidP="008F70A2">
      <w:pPr>
        <w:pStyle w:val="FSCDraftingitemheading"/>
      </w:pPr>
      <w:r w:rsidRPr="00530B67">
        <w:t>[32]</w:t>
      </w:r>
      <w:r w:rsidRPr="00530B67">
        <w:tab/>
        <w:t>Subsection S18—9(3) (table entry for “1-Hydroxyethylidene-1, 1-diphosphonic acid”, column 2)</w:t>
      </w:r>
    </w:p>
    <w:p w14:paraId="0C4D12C5" w14:textId="77777777" w:rsidR="00530B67" w:rsidRPr="00530B67" w:rsidRDefault="00530B67" w:rsidP="008F70A2">
      <w:pPr>
        <w:pStyle w:val="FSCDraftingitem"/>
      </w:pPr>
      <w:r w:rsidRPr="00530B67">
        <w:rPr>
          <w:b/>
          <w:bCs/>
        </w:rPr>
        <w:tab/>
      </w:r>
      <w:r w:rsidRPr="00530B67">
        <w:t>Omit “anti-microbial”, substitute “antimicrobial”</w:t>
      </w:r>
    </w:p>
    <w:p w14:paraId="03D5BAE1" w14:textId="77777777" w:rsidR="00530B67" w:rsidRPr="00530B67" w:rsidRDefault="00530B67" w:rsidP="00530B67">
      <w:pPr>
        <w:widowControl/>
        <w:tabs>
          <w:tab w:val="left" w:pos="851"/>
        </w:tabs>
        <w:spacing w:before="120" w:after="120"/>
        <w:rPr>
          <w:sz w:val="20"/>
          <w:szCs w:val="20"/>
          <w:lang w:bidi="ar-SA"/>
        </w:rPr>
      </w:pPr>
    </w:p>
    <w:p w14:paraId="396EFCC4" w14:textId="77777777" w:rsidR="00530B67" w:rsidRPr="00530B67" w:rsidRDefault="00530B67" w:rsidP="008F70A2">
      <w:pPr>
        <w:pStyle w:val="FSCDraftingitemheading"/>
      </w:pPr>
      <w:r w:rsidRPr="00530B67">
        <w:t>[33]</w:t>
      </w:r>
      <w:r w:rsidRPr="00530B67">
        <w:tab/>
        <w:t>Subsection S18—9(3) (table, column 2)</w:t>
      </w:r>
    </w:p>
    <w:p w14:paraId="71E3B96D" w14:textId="77777777" w:rsidR="00530B67" w:rsidRPr="00530B67" w:rsidRDefault="00530B67" w:rsidP="008F70A2">
      <w:pPr>
        <w:pStyle w:val="FSCDraftingitem"/>
      </w:pPr>
      <w:r w:rsidRPr="00530B67">
        <w:tab/>
        <w:t>Omit “Anti-microbial” wherever occurring, substitute “Antimicrobial”</w:t>
      </w:r>
    </w:p>
    <w:p w14:paraId="484D7CB7" w14:textId="77777777" w:rsidR="00530B67" w:rsidRPr="00530B67" w:rsidRDefault="00530B67" w:rsidP="00530B67">
      <w:pPr>
        <w:widowControl/>
        <w:tabs>
          <w:tab w:val="left" w:pos="851"/>
        </w:tabs>
        <w:spacing w:before="120" w:after="120"/>
        <w:rPr>
          <w:sz w:val="20"/>
          <w:szCs w:val="20"/>
          <w:lang w:bidi="ar-SA"/>
        </w:rPr>
      </w:pPr>
    </w:p>
    <w:p w14:paraId="5FB64488" w14:textId="77777777" w:rsidR="00530B67" w:rsidRPr="00530B67" w:rsidRDefault="00530B67" w:rsidP="008F70A2">
      <w:pPr>
        <w:pStyle w:val="FSCDraftingitemheading"/>
      </w:pPr>
      <w:r w:rsidRPr="00530B67">
        <w:t>[34]</w:t>
      </w:r>
      <w:r w:rsidRPr="00530B67">
        <w:tab/>
        <w:t>Section S18—11</w:t>
      </w:r>
    </w:p>
    <w:p w14:paraId="6E6FFD41" w14:textId="77777777" w:rsidR="00530B67" w:rsidRPr="00530B67" w:rsidRDefault="00530B67" w:rsidP="008F70A2">
      <w:pPr>
        <w:pStyle w:val="FSCDraftingitem"/>
      </w:pPr>
      <w:r w:rsidRPr="00530B67">
        <w:tab/>
        <w:t>Omit “anti-microbial” wherever occurring, substitute “antimicrobial”</w:t>
      </w:r>
    </w:p>
    <w:p w14:paraId="59539D60" w14:textId="77777777" w:rsidR="00530B67" w:rsidRPr="00530B67" w:rsidRDefault="00530B67" w:rsidP="00530B67">
      <w:pPr>
        <w:widowControl/>
        <w:tabs>
          <w:tab w:val="left" w:pos="851"/>
        </w:tabs>
        <w:spacing w:before="120" w:after="120"/>
        <w:rPr>
          <w:sz w:val="20"/>
          <w:szCs w:val="20"/>
          <w:lang w:bidi="ar-SA"/>
        </w:rPr>
      </w:pPr>
    </w:p>
    <w:p w14:paraId="77C941F7" w14:textId="77777777" w:rsidR="00530B67" w:rsidRPr="00530B67" w:rsidRDefault="00530B67" w:rsidP="008F70A2">
      <w:pPr>
        <w:pStyle w:val="FSCDraftingitemheading"/>
      </w:pPr>
      <w:r w:rsidRPr="00530B67">
        <w:t>Schedule 20 Maximum residue limits</w:t>
      </w:r>
    </w:p>
    <w:p w14:paraId="7EF4959D" w14:textId="77777777" w:rsidR="00530B67" w:rsidRPr="00530B67" w:rsidRDefault="00530B67" w:rsidP="008F70A2">
      <w:pPr>
        <w:pStyle w:val="FSCDraftingitemheading"/>
      </w:pPr>
      <w:r w:rsidRPr="00530B67">
        <w:t>[35]</w:t>
      </w:r>
      <w:r w:rsidRPr="00530B67">
        <w:tab/>
        <w:t xml:space="preserve">Section S20—3 (table entries for </w:t>
      </w:r>
      <w:proofErr w:type="spellStart"/>
      <w:r w:rsidRPr="00530B67">
        <w:t>Agvet</w:t>
      </w:r>
      <w:proofErr w:type="spellEnd"/>
      <w:r w:rsidRPr="00530B67">
        <w:t xml:space="preserve"> chemicals: </w:t>
      </w:r>
      <w:proofErr w:type="spellStart"/>
      <w:r w:rsidRPr="00530B67">
        <w:t>Amisulbrom</w:t>
      </w:r>
      <w:proofErr w:type="spellEnd"/>
      <w:r w:rsidRPr="00530B67">
        <w:t xml:space="preserve">, Cyproconazole, </w:t>
      </w:r>
      <w:proofErr w:type="spellStart"/>
      <w:r w:rsidRPr="00530B67">
        <w:t>Diafenthiuron</w:t>
      </w:r>
      <w:proofErr w:type="spellEnd"/>
      <w:r w:rsidRPr="00530B67">
        <w:t xml:space="preserve">, Dinotefuran, </w:t>
      </w:r>
      <w:proofErr w:type="spellStart"/>
      <w:r w:rsidRPr="00530B67">
        <w:t>Metalaxyl</w:t>
      </w:r>
      <w:proofErr w:type="spellEnd"/>
      <w:r w:rsidRPr="00530B67">
        <w:t xml:space="preserve"> and </w:t>
      </w:r>
      <w:proofErr w:type="spellStart"/>
      <w:r w:rsidRPr="00530B67">
        <w:t>Tetraniliprole</w:t>
      </w:r>
      <w:proofErr w:type="spellEnd"/>
      <w:r w:rsidRPr="00530B67">
        <w:t>)</w:t>
      </w:r>
    </w:p>
    <w:p w14:paraId="081CB607" w14:textId="77777777" w:rsidR="00530B67" w:rsidRPr="00530B67" w:rsidRDefault="00530B67" w:rsidP="008F70A2">
      <w:pPr>
        <w:pStyle w:val="FSCDraftingitem"/>
      </w:pPr>
      <w:r w:rsidRPr="00530B67">
        <w:tab/>
        <w:t>Omit:</w:t>
      </w:r>
    </w:p>
    <w:p w14:paraId="507FE61C" w14:textId="77777777" w:rsidR="00530B67" w:rsidRPr="00530B67" w:rsidRDefault="00530B67" w:rsidP="00752FCF">
      <w:pPr>
        <w:pStyle w:val="FSCtblMRL1"/>
      </w:pPr>
      <w:r w:rsidRPr="00530B67">
        <w:t>All other foods except animal commodities</w:t>
      </w:r>
    </w:p>
    <w:p w14:paraId="55ABA985" w14:textId="77777777" w:rsidR="00530B67" w:rsidRPr="00530B67" w:rsidRDefault="00530B67" w:rsidP="008F70A2">
      <w:pPr>
        <w:pStyle w:val="FSCDraftingitem"/>
      </w:pPr>
      <w:r w:rsidRPr="00530B67">
        <w:tab/>
        <w:t>substitute:</w:t>
      </w:r>
    </w:p>
    <w:p w14:paraId="35933BFE" w14:textId="77777777" w:rsidR="00530B67" w:rsidRPr="00530B67" w:rsidRDefault="00530B67" w:rsidP="00752FCF">
      <w:pPr>
        <w:pStyle w:val="FSCtblMRL1"/>
      </w:pPr>
      <w:r w:rsidRPr="00530B67">
        <w:t>All other foods except animal food commodities</w:t>
      </w:r>
    </w:p>
    <w:p w14:paraId="6C714F98" w14:textId="77777777" w:rsidR="00530B67" w:rsidRPr="00530B67" w:rsidRDefault="00530B67" w:rsidP="00530B67">
      <w:pPr>
        <w:spacing w:before="120" w:after="120"/>
        <w:ind w:left="851" w:hanging="851"/>
        <w:rPr>
          <w:b/>
          <w:sz w:val="20"/>
          <w:szCs w:val="20"/>
          <w:lang w:bidi="ar-SA"/>
        </w:rPr>
      </w:pPr>
    </w:p>
    <w:p w14:paraId="52076FA1" w14:textId="77777777" w:rsidR="00530B67" w:rsidRPr="00530B67" w:rsidRDefault="00530B67" w:rsidP="00530B67">
      <w:pPr>
        <w:spacing w:before="120" w:after="120"/>
        <w:ind w:left="851" w:hanging="851"/>
        <w:rPr>
          <w:b/>
          <w:sz w:val="20"/>
          <w:szCs w:val="20"/>
          <w:lang w:bidi="ar-SA"/>
        </w:rPr>
      </w:pPr>
    </w:p>
    <w:p w14:paraId="0252659C" w14:textId="77777777" w:rsidR="00530B67" w:rsidRPr="00530B67" w:rsidRDefault="00530B67" w:rsidP="00530B67">
      <w:pPr>
        <w:spacing w:before="120" w:after="120"/>
        <w:ind w:left="851" w:hanging="851"/>
        <w:rPr>
          <w:b/>
          <w:sz w:val="20"/>
          <w:szCs w:val="20"/>
          <w:lang w:bidi="ar-SA"/>
        </w:rPr>
      </w:pPr>
    </w:p>
    <w:p w14:paraId="2E10B74A" w14:textId="77777777" w:rsidR="00530B67" w:rsidRPr="00530B67" w:rsidRDefault="00530B67" w:rsidP="00530B67">
      <w:pPr>
        <w:spacing w:before="120" w:after="120"/>
        <w:ind w:left="851" w:hanging="851"/>
        <w:rPr>
          <w:b/>
          <w:sz w:val="20"/>
          <w:szCs w:val="20"/>
          <w:lang w:bidi="ar-SA"/>
        </w:rPr>
      </w:pPr>
    </w:p>
    <w:p w14:paraId="52544C67" w14:textId="77777777" w:rsidR="00530B67" w:rsidRPr="00530B67" w:rsidRDefault="00530B67" w:rsidP="00530B67">
      <w:pPr>
        <w:spacing w:before="120" w:after="120"/>
        <w:ind w:left="851" w:hanging="851"/>
        <w:rPr>
          <w:b/>
          <w:sz w:val="20"/>
          <w:szCs w:val="20"/>
          <w:lang w:bidi="ar-SA"/>
        </w:rPr>
      </w:pPr>
    </w:p>
    <w:p w14:paraId="0703F6F2" w14:textId="77777777" w:rsidR="00530B67" w:rsidRPr="00530B67" w:rsidRDefault="00530B67" w:rsidP="00530B67">
      <w:pPr>
        <w:spacing w:before="120" w:after="120"/>
        <w:ind w:left="851" w:hanging="851"/>
        <w:rPr>
          <w:b/>
          <w:sz w:val="20"/>
          <w:szCs w:val="20"/>
          <w:lang w:bidi="ar-SA"/>
        </w:rPr>
      </w:pPr>
    </w:p>
    <w:p w14:paraId="3E254821" w14:textId="77777777" w:rsidR="00530B67" w:rsidRPr="00530B67" w:rsidRDefault="00530B67" w:rsidP="00530B67">
      <w:pPr>
        <w:spacing w:before="120" w:after="120"/>
        <w:ind w:left="851" w:hanging="851"/>
        <w:rPr>
          <w:b/>
          <w:sz w:val="20"/>
          <w:szCs w:val="20"/>
          <w:lang w:bidi="ar-SA"/>
        </w:rPr>
      </w:pPr>
    </w:p>
    <w:p w14:paraId="374CE5E4" w14:textId="77777777" w:rsidR="00530B67" w:rsidRPr="00530B67" w:rsidRDefault="00530B67" w:rsidP="00752FCF">
      <w:pPr>
        <w:pStyle w:val="FSCDraftingitemheading"/>
      </w:pPr>
      <w:r w:rsidRPr="00530B67">
        <w:t>[36]</w:t>
      </w:r>
      <w:r w:rsidRPr="00530B67">
        <w:tab/>
        <w:t xml:space="preserve">Section S20—3 (table entry for </w:t>
      </w:r>
      <w:proofErr w:type="spellStart"/>
      <w:r w:rsidRPr="00530B67">
        <w:t>Agvet</w:t>
      </w:r>
      <w:proofErr w:type="spellEnd"/>
      <w:r w:rsidRPr="00530B67">
        <w:t xml:space="preserve"> chemical: </w:t>
      </w:r>
      <w:proofErr w:type="spellStart"/>
      <w:r w:rsidRPr="00530B67">
        <w:t>Bifenazate</w:t>
      </w:r>
      <w:proofErr w:type="spellEnd"/>
      <w:r w:rsidRPr="00530B67">
        <w:t>)</w:t>
      </w:r>
    </w:p>
    <w:p w14:paraId="1C1C35BF" w14:textId="77777777" w:rsidR="00530B67" w:rsidRPr="00530B67" w:rsidRDefault="00530B67" w:rsidP="00752FCF">
      <w:pPr>
        <w:pStyle w:val="FSCDraftingitem"/>
      </w:pPr>
      <w:r w:rsidRPr="00530B67">
        <w:tab/>
        <w:t>Omit: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530B67" w:rsidRPr="00530B67" w14:paraId="2FE53025" w14:textId="77777777" w:rsidTr="00530B67">
        <w:tc>
          <w:tcPr>
            <w:tcW w:w="3539" w:type="dxa"/>
            <w:hideMark/>
          </w:tcPr>
          <w:p w14:paraId="014692AB" w14:textId="77777777" w:rsidR="00530B67" w:rsidRPr="00530B67" w:rsidRDefault="00530B67" w:rsidP="00752FCF">
            <w:pPr>
              <w:pStyle w:val="FSCtblMRL1"/>
              <w:rPr>
                <w:lang w:eastAsia="en-GB"/>
              </w:rPr>
            </w:pPr>
            <w:r w:rsidRPr="00530B67">
              <w:t>Peach</w:t>
            </w:r>
          </w:p>
        </w:tc>
        <w:tc>
          <w:tcPr>
            <w:tcW w:w="1134" w:type="dxa"/>
            <w:hideMark/>
          </w:tcPr>
          <w:p w14:paraId="0B755908" w14:textId="77777777" w:rsidR="00530B67" w:rsidRPr="00530B67" w:rsidRDefault="00530B67" w:rsidP="00AE1E89">
            <w:pPr>
              <w:pStyle w:val="FSCtblMRL2"/>
            </w:pPr>
            <w:r w:rsidRPr="00530B67">
              <w:t>2</w:t>
            </w:r>
          </w:p>
        </w:tc>
      </w:tr>
      <w:tr w:rsidR="00530B67" w:rsidRPr="00530B67" w14:paraId="16537452" w14:textId="77777777" w:rsidTr="00530B67">
        <w:tc>
          <w:tcPr>
            <w:tcW w:w="3539" w:type="dxa"/>
            <w:hideMark/>
          </w:tcPr>
          <w:p w14:paraId="0674CF2D" w14:textId="77777777" w:rsidR="00530B67" w:rsidRPr="00530B67" w:rsidRDefault="00530B67" w:rsidP="00752FCF">
            <w:pPr>
              <w:pStyle w:val="FSCtblMRL1"/>
              <w:rPr>
                <w:lang w:eastAsia="en-GB"/>
              </w:rPr>
            </w:pPr>
            <w:r w:rsidRPr="00530B67">
              <w:t>Peppers</w:t>
            </w:r>
            <w:r w:rsidRPr="00530B67">
              <w:rPr>
                <w:lang w:eastAsia="en-GB"/>
              </w:rPr>
              <w:t>, chili</w:t>
            </w:r>
          </w:p>
        </w:tc>
        <w:tc>
          <w:tcPr>
            <w:tcW w:w="1134" w:type="dxa"/>
            <w:hideMark/>
          </w:tcPr>
          <w:p w14:paraId="4A3CB75E" w14:textId="77777777" w:rsidR="00530B67" w:rsidRPr="00530B67" w:rsidRDefault="00530B67" w:rsidP="00AE1E89">
            <w:pPr>
              <w:pStyle w:val="FSCtblMRL2"/>
            </w:pPr>
            <w:r w:rsidRPr="00530B67">
              <w:t>3</w:t>
            </w:r>
          </w:p>
        </w:tc>
      </w:tr>
      <w:tr w:rsidR="00530B67" w:rsidRPr="00530B67" w14:paraId="1F64C6D8" w14:textId="77777777" w:rsidTr="00530B67">
        <w:tc>
          <w:tcPr>
            <w:tcW w:w="3539" w:type="dxa"/>
            <w:hideMark/>
          </w:tcPr>
          <w:p w14:paraId="1AA21D72" w14:textId="77777777" w:rsidR="00530B67" w:rsidRPr="00530B67" w:rsidRDefault="00530B67" w:rsidP="00752FCF">
            <w:pPr>
              <w:pStyle w:val="FSCtblMRL1"/>
            </w:pPr>
            <w:r w:rsidRPr="00530B67">
              <w:t>Podded pea (young pods) (snow and sugar snap)</w:t>
            </w:r>
          </w:p>
        </w:tc>
        <w:tc>
          <w:tcPr>
            <w:tcW w:w="1134" w:type="dxa"/>
            <w:hideMark/>
          </w:tcPr>
          <w:p w14:paraId="585065F8" w14:textId="77777777" w:rsidR="00530B67" w:rsidRPr="00530B67" w:rsidRDefault="00530B67" w:rsidP="00AE1E89">
            <w:pPr>
              <w:pStyle w:val="FSCtblMRL2"/>
            </w:pPr>
            <w:r w:rsidRPr="00530B67">
              <w:t>T1</w:t>
            </w:r>
          </w:p>
        </w:tc>
      </w:tr>
      <w:tr w:rsidR="00530B67" w:rsidRPr="00530B67" w14:paraId="09BB5CBC" w14:textId="77777777" w:rsidTr="00530B67">
        <w:tc>
          <w:tcPr>
            <w:tcW w:w="3539" w:type="dxa"/>
            <w:hideMark/>
          </w:tcPr>
          <w:p w14:paraId="782D0796" w14:textId="77777777" w:rsidR="00530B67" w:rsidRPr="00530B67" w:rsidRDefault="00530B67" w:rsidP="00752FCF">
            <w:pPr>
              <w:pStyle w:val="FSCtblMRL1"/>
            </w:pPr>
            <w:r w:rsidRPr="00530B67">
              <w:t>Poultry, edible offal of</w:t>
            </w:r>
          </w:p>
        </w:tc>
        <w:tc>
          <w:tcPr>
            <w:tcW w:w="1134" w:type="dxa"/>
            <w:hideMark/>
          </w:tcPr>
          <w:p w14:paraId="7288EB64" w14:textId="77777777" w:rsidR="00530B67" w:rsidRPr="00530B67" w:rsidRDefault="00530B67" w:rsidP="00AE1E89">
            <w:pPr>
              <w:pStyle w:val="FSCtblMRL2"/>
            </w:pPr>
            <w:r w:rsidRPr="00530B67">
              <w:t>*0.01</w:t>
            </w:r>
          </w:p>
        </w:tc>
      </w:tr>
      <w:tr w:rsidR="00530B67" w:rsidRPr="00530B67" w14:paraId="5A7BB28A" w14:textId="77777777" w:rsidTr="00530B67">
        <w:tc>
          <w:tcPr>
            <w:tcW w:w="3539" w:type="dxa"/>
            <w:hideMark/>
          </w:tcPr>
          <w:p w14:paraId="73E14015" w14:textId="77777777" w:rsidR="00530B67" w:rsidRPr="00530B67" w:rsidRDefault="00530B67" w:rsidP="00752FCF">
            <w:pPr>
              <w:pStyle w:val="FSCtblMRL1"/>
            </w:pPr>
            <w:r w:rsidRPr="00530B67">
              <w:t>Poultry meat</w:t>
            </w:r>
          </w:p>
        </w:tc>
        <w:tc>
          <w:tcPr>
            <w:tcW w:w="1134" w:type="dxa"/>
            <w:hideMark/>
          </w:tcPr>
          <w:p w14:paraId="236450C7" w14:textId="77777777" w:rsidR="00530B67" w:rsidRPr="00530B67" w:rsidRDefault="00530B67" w:rsidP="00AE1E89">
            <w:pPr>
              <w:pStyle w:val="FSCtblMRL2"/>
            </w:pPr>
            <w:r w:rsidRPr="00530B67">
              <w:t>*0.01</w:t>
            </w:r>
          </w:p>
        </w:tc>
      </w:tr>
      <w:tr w:rsidR="00530B67" w:rsidRPr="00530B67" w14:paraId="47705E4F" w14:textId="77777777" w:rsidTr="00530B67">
        <w:tc>
          <w:tcPr>
            <w:tcW w:w="3539" w:type="dxa"/>
            <w:hideMark/>
          </w:tcPr>
          <w:p w14:paraId="567D4693" w14:textId="77777777" w:rsidR="00530B67" w:rsidRPr="00530B67" w:rsidRDefault="00530B67" w:rsidP="00752FCF">
            <w:pPr>
              <w:pStyle w:val="FSCtblMRL1"/>
            </w:pPr>
            <w:r w:rsidRPr="00530B67">
              <w:t>Plums (including prunes)</w:t>
            </w:r>
          </w:p>
        </w:tc>
        <w:tc>
          <w:tcPr>
            <w:tcW w:w="1134" w:type="dxa"/>
            <w:hideMark/>
          </w:tcPr>
          <w:p w14:paraId="1F096B91" w14:textId="77777777" w:rsidR="00530B67" w:rsidRPr="00530B67" w:rsidRDefault="00530B67" w:rsidP="00AE1E89">
            <w:pPr>
              <w:pStyle w:val="FSCtblMRL2"/>
            </w:pPr>
            <w:r w:rsidRPr="00530B67">
              <w:t>0.5</w:t>
            </w:r>
          </w:p>
        </w:tc>
      </w:tr>
      <w:tr w:rsidR="00530B67" w:rsidRPr="00530B67" w14:paraId="560DF3CB" w14:textId="77777777" w:rsidTr="00530B67">
        <w:tc>
          <w:tcPr>
            <w:tcW w:w="3539" w:type="dxa"/>
            <w:hideMark/>
          </w:tcPr>
          <w:p w14:paraId="3CDEE53A" w14:textId="77777777" w:rsidR="00530B67" w:rsidRPr="00530B67" w:rsidRDefault="00530B67" w:rsidP="00752FCF">
            <w:pPr>
              <w:pStyle w:val="FSCtblMRL1"/>
            </w:pPr>
            <w:r w:rsidRPr="00530B67">
              <w:t>Pome fruits [except Persimmon, Japanese]</w:t>
            </w:r>
          </w:p>
        </w:tc>
        <w:tc>
          <w:tcPr>
            <w:tcW w:w="1134" w:type="dxa"/>
            <w:hideMark/>
          </w:tcPr>
          <w:p w14:paraId="4E0CA475" w14:textId="77777777" w:rsidR="00530B67" w:rsidRPr="00530B67" w:rsidRDefault="00530B67" w:rsidP="00AE1E89">
            <w:pPr>
              <w:pStyle w:val="FSCtblMRL2"/>
            </w:pPr>
            <w:r w:rsidRPr="00530B67">
              <w:t>2</w:t>
            </w:r>
          </w:p>
        </w:tc>
      </w:tr>
    </w:tbl>
    <w:p w14:paraId="704EA409" w14:textId="77777777" w:rsidR="00530B67" w:rsidRPr="00530B67" w:rsidRDefault="00530B67" w:rsidP="00530B67">
      <w:pPr>
        <w:keepLines/>
        <w:widowControl/>
        <w:spacing w:before="20" w:after="20"/>
        <w:rPr>
          <w:rFonts w:cs="Arial"/>
          <w:sz w:val="18"/>
          <w:szCs w:val="20"/>
          <w:lang w:eastAsia="en-AU" w:bidi="ar-SA"/>
        </w:rPr>
      </w:pPr>
    </w:p>
    <w:p w14:paraId="13F7DFB0" w14:textId="77777777" w:rsidR="00530B67" w:rsidRPr="00530B67" w:rsidRDefault="00530B67" w:rsidP="00576D9D">
      <w:pPr>
        <w:pStyle w:val="FSCDraftingitem"/>
      </w:pPr>
      <w:r w:rsidRPr="00530B67">
        <w:tab/>
        <w:t>substitute:</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530B67" w:rsidRPr="00530B67" w14:paraId="61B32B8B" w14:textId="77777777" w:rsidTr="00530B67">
        <w:tc>
          <w:tcPr>
            <w:tcW w:w="3539" w:type="dxa"/>
            <w:hideMark/>
          </w:tcPr>
          <w:p w14:paraId="274D2480" w14:textId="77777777" w:rsidR="00530B67" w:rsidRPr="00530B67" w:rsidRDefault="00530B67" w:rsidP="00752FCF">
            <w:pPr>
              <w:pStyle w:val="FSCtblMRL1"/>
            </w:pPr>
            <w:r w:rsidRPr="00530B67">
              <w:t>Peach</w:t>
            </w:r>
          </w:p>
        </w:tc>
        <w:tc>
          <w:tcPr>
            <w:tcW w:w="1134" w:type="dxa"/>
            <w:hideMark/>
          </w:tcPr>
          <w:p w14:paraId="557E19DE" w14:textId="77777777" w:rsidR="00530B67" w:rsidRPr="00530B67" w:rsidRDefault="00530B67" w:rsidP="00AE1E89">
            <w:pPr>
              <w:pStyle w:val="FSCtblMRL2"/>
            </w:pPr>
            <w:r w:rsidRPr="00530B67">
              <w:t>2</w:t>
            </w:r>
          </w:p>
        </w:tc>
      </w:tr>
      <w:tr w:rsidR="00530B67" w:rsidRPr="00530B67" w14:paraId="2D54AF8D" w14:textId="77777777" w:rsidTr="00530B67">
        <w:tc>
          <w:tcPr>
            <w:tcW w:w="3539" w:type="dxa"/>
            <w:hideMark/>
          </w:tcPr>
          <w:p w14:paraId="319A61CB" w14:textId="77777777" w:rsidR="00530B67" w:rsidRPr="00530B67" w:rsidRDefault="00530B67" w:rsidP="00752FCF">
            <w:pPr>
              <w:pStyle w:val="FSCtblMRL1"/>
            </w:pPr>
            <w:r w:rsidRPr="00530B67">
              <w:t>Peppers, chili</w:t>
            </w:r>
          </w:p>
        </w:tc>
        <w:tc>
          <w:tcPr>
            <w:tcW w:w="1134" w:type="dxa"/>
            <w:hideMark/>
          </w:tcPr>
          <w:p w14:paraId="0AA66A9D" w14:textId="77777777" w:rsidR="00530B67" w:rsidRPr="00530B67" w:rsidRDefault="00530B67" w:rsidP="00AE1E89">
            <w:pPr>
              <w:pStyle w:val="FSCtblMRL2"/>
            </w:pPr>
            <w:r w:rsidRPr="00530B67">
              <w:t>3</w:t>
            </w:r>
          </w:p>
        </w:tc>
      </w:tr>
      <w:tr w:rsidR="00530B67" w:rsidRPr="00530B67" w14:paraId="35820F15" w14:textId="77777777" w:rsidTr="00530B67">
        <w:tc>
          <w:tcPr>
            <w:tcW w:w="3539" w:type="dxa"/>
            <w:hideMark/>
          </w:tcPr>
          <w:p w14:paraId="24DF75A3" w14:textId="77777777" w:rsidR="00530B67" w:rsidRPr="00530B67" w:rsidRDefault="00530B67" w:rsidP="00752FCF">
            <w:pPr>
              <w:pStyle w:val="FSCtblMRL1"/>
            </w:pPr>
            <w:r w:rsidRPr="00530B67">
              <w:t>Plums (including prunes)</w:t>
            </w:r>
          </w:p>
        </w:tc>
        <w:tc>
          <w:tcPr>
            <w:tcW w:w="1134" w:type="dxa"/>
            <w:hideMark/>
          </w:tcPr>
          <w:p w14:paraId="2BB0B7A5" w14:textId="77777777" w:rsidR="00530B67" w:rsidRPr="00530B67" w:rsidRDefault="00530B67" w:rsidP="00AE1E89">
            <w:pPr>
              <w:pStyle w:val="FSCtblMRL2"/>
            </w:pPr>
            <w:r w:rsidRPr="00530B67">
              <w:t>0.5</w:t>
            </w:r>
          </w:p>
        </w:tc>
      </w:tr>
      <w:tr w:rsidR="00530B67" w:rsidRPr="00530B67" w14:paraId="194D0652" w14:textId="77777777" w:rsidTr="00530B67">
        <w:tc>
          <w:tcPr>
            <w:tcW w:w="3539" w:type="dxa"/>
            <w:hideMark/>
          </w:tcPr>
          <w:p w14:paraId="59895FCF" w14:textId="77777777" w:rsidR="00530B67" w:rsidRPr="00530B67" w:rsidRDefault="00530B67" w:rsidP="00752FCF">
            <w:pPr>
              <w:pStyle w:val="FSCtblMRL1"/>
            </w:pPr>
            <w:r w:rsidRPr="00530B67">
              <w:t>Podded pea (young pods) (snow and sugar snap)</w:t>
            </w:r>
          </w:p>
        </w:tc>
        <w:tc>
          <w:tcPr>
            <w:tcW w:w="1134" w:type="dxa"/>
            <w:hideMark/>
          </w:tcPr>
          <w:p w14:paraId="062D7779" w14:textId="77777777" w:rsidR="00530B67" w:rsidRPr="00530B67" w:rsidRDefault="00530B67" w:rsidP="00AE1E89">
            <w:pPr>
              <w:pStyle w:val="FSCtblMRL2"/>
            </w:pPr>
            <w:r w:rsidRPr="00530B67">
              <w:t>T1</w:t>
            </w:r>
          </w:p>
        </w:tc>
      </w:tr>
      <w:tr w:rsidR="00530B67" w:rsidRPr="00530B67" w14:paraId="0BC3FA66" w14:textId="77777777" w:rsidTr="00530B67">
        <w:tc>
          <w:tcPr>
            <w:tcW w:w="3539" w:type="dxa"/>
            <w:hideMark/>
          </w:tcPr>
          <w:p w14:paraId="3AF83575" w14:textId="77777777" w:rsidR="00530B67" w:rsidRPr="00530B67" w:rsidRDefault="00530B67" w:rsidP="00752FCF">
            <w:pPr>
              <w:pStyle w:val="FSCtblMRL1"/>
            </w:pPr>
            <w:r w:rsidRPr="00530B67">
              <w:t>Poultry, edible offal of</w:t>
            </w:r>
          </w:p>
        </w:tc>
        <w:tc>
          <w:tcPr>
            <w:tcW w:w="1134" w:type="dxa"/>
            <w:hideMark/>
          </w:tcPr>
          <w:p w14:paraId="5F278FC9" w14:textId="77777777" w:rsidR="00530B67" w:rsidRPr="00530B67" w:rsidRDefault="00530B67" w:rsidP="00AE1E89">
            <w:pPr>
              <w:pStyle w:val="FSCtblMRL2"/>
            </w:pPr>
            <w:r w:rsidRPr="00530B67">
              <w:t>*0.01</w:t>
            </w:r>
          </w:p>
        </w:tc>
      </w:tr>
      <w:tr w:rsidR="00530B67" w:rsidRPr="00530B67" w14:paraId="576D7E4F" w14:textId="77777777" w:rsidTr="00530B67">
        <w:tc>
          <w:tcPr>
            <w:tcW w:w="3539" w:type="dxa"/>
            <w:hideMark/>
          </w:tcPr>
          <w:p w14:paraId="7869CF80" w14:textId="77777777" w:rsidR="00530B67" w:rsidRPr="00530B67" w:rsidRDefault="00530B67" w:rsidP="00752FCF">
            <w:pPr>
              <w:pStyle w:val="FSCtblMRL1"/>
            </w:pPr>
            <w:r w:rsidRPr="00530B67">
              <w:t>Poultry meat</w:t>
            </w:r>
          </w:p>
        </w:tc>
        <w:tc>
          <w:tcPr>
            <w:tcW w:w="1134" w:type="dxa"/>
            <w:hideMark/>
          </w:tcPr>
          <w:p w14:paraId="0E4A6766" w14:textId="77777777" w:rsidR="00530B67" w:rsidRPr="00530B67" w:rsidRDefault="00530B67" w:rsidP="00AE1E89">
            <w:pPr>
              <w:pStyle w:val="FSCtblMRL2"/>
            </w:pPr>
            <w:r w:rsidRPr="00530B67">
              <w:t>*0.01</w:t>
            </w:r>
          </w:p>
        </w:tc>
      </w:tr>
      <w:tr w:rsidR="00530B67" w:rsidRPr="00530B67" w14:paraId="23E9BEE6" w14:textId="77777777" w:rsidTr="00530B67">
        <w:tc>
          <w:tcPr>
            <w:tcW w:w="3539" w:type="dxa"/>
            <w:hideMark/>
          </w:tcPr>
          <w:p w14:paraId="1E9376C4" w14:textId="77777777" w:rsidR="00530B67" w:rsidRPr="00530B67" w:rsidRDefault="00530B67" w:rsidP="00752FCF">
            <w:pPr>
              <w:pStyle w:val="FSCtblMRL1"/>
            </w:pPr>
            <w:r w:rsidRPr="00530B67">
              <w:t>Pome fruits [except Persimmon, Japanese]</w:t>
            </w:r>
          </w:p>
        </w:tc>
        <w:tc>
          <w:tcPr>
            <w:tcW w:w="1134" w:type="dxa"/>
            <w:hideMark/>
          </w:tcPr>
          <w:p w14:paraId="1A3FFD6B" w14:textId="77777777" w:rsidR="00530B67" w:rsidRPr="00530B67" w:rsidRDefault="00530B67" w:rsidP="00AE1E89">
            <w:pPr>
              <w:pStyle w:val="FSCtblMRL2"/>
            </w:pPr>
            <w:r w:rsidRPr="00530B67">
              <w:t>2</w:t>
            </w:r>
          </w:p>
        </w:tc>
      </w:tr>
    </w:tbl>
    <w:p w14:paraId="594D4CE7" w14:textId="77777777" w:rsidR="00530B67" w:rsidRPr="00530B67" w:rsidRDefault="00530B67" w:rsidP="00530B67">
      <w:pPr>
        <w:widowControl/>
        <w:tabs>
          <w:tab w:val="left" w:pos="851"/>
        </w:tabs>
        <w:spacing w:before="120" w:after="120"/>
        <w:rPr>
          <w:sz w:val="20"/>
          <w:szCs w:val="20"/>
          <w:lang w:bidi="ar-SA"/>
        </w:rPr>
      </w:pPr>
    </w:p>
    <w:p w14:paraId="058C2179" w14:textId="77777777" w:rsidR="00530B67" w:rsidRPr="00530B67" w:rsidRDefault="00530B67" w:rsidP="00EB4C07">
      <w:pPr>
        <w:pStyle w:val="FSCDraftingitemheading"/>
      </w:pPr>
      <w:r w:rsidRPr="00530B67">
        <w:t>[37]</w:t>
      </w:r>
      <w:r w:rsidRPr="00530B67">
        <w:tab/>
        <w:t xml:space="preserve">Section S20—3 (table entry for </w:t>
      </w:r>
      <w:proofErr w:type="spellStart"/>
      <w:r w:rsidRPr="00530B67">
        <w:t>Agvet</w:t>
      </w:r>
      <w:proofErr w:type="spellEnd"/>
      <w:r w:rsidRPr="00530B67">
        <w:t xml:space="preserve"> chemical: </w:t>
      </w:r>
      <w:proofErr w:type="spellStart"/>
      <w:r w:rsidRPr="00530B67">
        <w:t>Buprofezin</w:t>
      </w:r>
      <w:proofErr w:type="spellEnd"/>
      <w:r w:rsidRPr="00530B67">
        <w:t>)</w:t>
      </w:r>
    </w:p>
    <w:p w14:paraId="6BECD37B" w14:textId="77777777" w:rsidR="00530B67" w:rsidRPr="00530B67" w:rsidRDefault="00530B67" w:rsidP="00576D9D">
      <w:pPr>
        <w:pStyle w:val="FSCDraftingitem"/>
      </w:pPr>
      <w:r w:rsidRPr="00530B67">
        <w:tab/>
        <w:t>Omit:</w:t>
      </w:r>
    </w:p>
    <w:p w14:paraId="7779FC2F" w14:textId="77777777" w:rsidR="00530B67" w:rsidRPr="00530B67" w:rsidRDefault="00530B67" w:rsidP="008E682D">
      <w:pPr>
        <w:pStyle w:val="FSCtblMRL1"/>
      </w:pPr>
      <w:r w:rsidRPr="00530B67">
        <w:t>Oilseed (except cotton seed)</w:t>
      </w:r>
    </w:p>
    <w:p w14:paraId="1DCC837F" w14:textId="77777777" w:rsidR="00530B67" w:rsidRPr="00530B67" w:rsidRDefault="00530B67" w:rsidP="00576D9D">
      <w:pPr>
        <w:pStyle w:val="FSCDraftingitem"/>
      </w:pPr>
      <w:r w:rsidRPr="00530B67">
        <w:tab/>
        <w:t>substitute:</w:t>
      </w:r>
    </w:p>
    <w:p w14:paraId="49DD72AE" w14:textId="77777777" w:rsidR="00530B67" w:rsidRPr="00530B67" w:rsidRDefault="00530B67" w:rsidP="008E682D">
      <w:pPr>
        <w:pStyle w:val="FSCtblMRL1"/>
      </w:pPr>
      <w:r w:rsidRPr="00530B67">
        <w:t>Oilseeds [except cotton seed]</w:t>
      </w:r>
    </w:p>
    <w:p w14:paraId="4F856B5B" w14:textId="77777777" w:rsidR="00530B67" w:rsidRPr="00530B67" w:rsidRDefault="00530B67" w:rsidP="00530B67">
      <w:pPr>
        <w:keepLines/>
        <w:widowControl/>
        <w:spacing w:before="20" w:after="20"/>
        <w:rPr>
          <w:rFonts w:cs="Arial"/>
          <w:sz w:val="18"/>
          <w:szCs w:val="20"/>
          <w:lang w:eastAsia="en-AU" w:bidi="ar-SA"/>
        </w:rPr>
      </w:pPr>
    </w:p>
    <w:p w14:paraId="4C745C59" w14:textId="77777777" w:rsidR="00530B67" w:rsidRPr="00530B67" w:rsidRDefault="00530B67" w:rsidP="00EB4C07">
      <w:pPr>
        <w:pStyle w:val="FSCDraftingitemheading"/>
      </w:pPr>
      <w:r w:rsidRPr="00530B67">
        <w:t>[38]</w:t>
      </w:r>
      <w:r w:rsidRPr="00530B67">
        <w:tab/>
        <w:t xml:space="preserve">Section S20—3 (table entries for </w:t>
      </w:r>
      <w:proofErr w:type="spellStart"/>
      <w:r w:rsidRPr="00530B67">
        <w:t>Agvet</w:t>
      </w:r>
      <w:proofErr w:type="spellEnd"/>
      <w:r w:rsidRPr="00530B67">
        <w:t xml:space="preserve"> chemicals: </w:t>
      </w:r>
      <w:proofErr w:type="spellStart"/>
      <w:r w:rsidRPr="00530B67">
        <w:t>Cyflumetofen</w:t>
      </w:r>
      <w:proofErr w:type="spellEnd"/>
      <w:r w:rsidRPr="00530B67">
        <w:t xml:space="preserve"> and </w:t>
      </w:r>
      <w:proofErr w:type="spellStart"/>
      <w:r w:rsidRPr="00530B67">
        <w:t>Fenazaquin</w:t>
      </w:r>
      <w:proofErr w:type="spellEnd"/>
      <w:r w:rsidRPr="00530B67">
        <w:t>)</w:t>
      </w:r>
    </w:p>
    <w:p w14:paraId="27079774" w14:textId="77777777" w:rsidR="00530B67" w:rsidRPr="00530B67" w:rsidRDefault="00530B67" w:rsidP="00576D9D">
      <w:pPr>
        <w:pStyle w:val="FSCDraftingitem"/>
      </w:pPr>
      <w:r w:rsidRPr="00530B67">
        <w:tab/>
        <w:t>Omit</w:t>
      </w:r>
      <w:r w:rsidRPr="00530B67">
        <w:rPr>
          <w:shd w:val="clear" w:color="auto" w:fill="FFFFFF"/>
        </w:rPr>
        <w:t>:</w:t>
      </w:r>
    </w:p>
    <w:p w14:paraId="6949FDCD" w14:textId="77777777" w:rsidR="00530B67" w:rsidRPr="00530B67" w:rsidRDefault="00530B67" w:rsidP="008E682D">
      <w:pPr>
        <w:pStyle w:val="FSCtblMRL1"/>
      </w:pPr>
      <w:r w:rsidRPr="00530B67">
        <w:t>Grapes (except dried)</w:t>
      </w:r>
    </w:p>
    <w:p w14:paraId="569A984F" w14:textId="77777777" w:rsidR="00530B67" w:rsidRPr="00530B67" w:rsidRDefault="00530B67" w:rsidP="00576D9D">
      <w:pPr>
        <w:pStyle w:val="FSCDraftingitem"/>
        <w:rPr>
          <w:shd w:val="clear" w:color="auto" w:fill="FFFFFF"/>
        </w:rPr>
      </w:pPr>
      <w:r w:rsidRPr="00530B67">
        <w:tab/>
        <w:t>substitute</w:t>
      </w:r>
      <w:r w:rsidRPr="00530B67">
        <w:rPr>
          <w:shd w:val="clear" w:color="auto" w:fill="FFFFFF"/>
        </w:rPr>
        <w:t>:</w:t>
      </w:r>
    </w:p>
    <w:p w14:paraId="03D1EBB0" w14:textId="77777777" w:rsidR="00530B67" w:rsidRPr="00530B67" w:rsidRDefault="00530B67" w:rsidP="008E682D">
      <w:pPr>
        <w:pStyle w:val="FSCtblMRL1"/>
        <w:rPr>
          <w:shd w:val="clear" w:color="auto" w:fill="FFFFFF"/>
        </w:rPr>
      </w:pPr>
      <w:r w:rsidRPr="00530B67">
        <w:t>Grapes</w:t>
      </w:r>
      <w:r w:rsidRPr="00530B67">
        <w:rPr>
          <w:lang w:val="en-AU"/>
        </w:rPr>
        <w:t xml:space="preserve"> [except dried]</w:t>
      </w:r>
    </w:p>
    <w:p w14:paraId="274B8260" w14:textId="77777777" w:rsidR="00530B67" w:rsidRPr="00530B67" w:rsidRDefault="00530B67" w:rsidP="00530B67">
      <w:pPr>
        <w:keepLines/>
        <w:widowControl/>
        <w:spacing w:before="20" w:after="20"/>
        <w:rPr>
          <w:rFonts w:cs="Arial"/>
          <w:sz w:val="18"/>
          <w:szCs w:val="20"/>
          <w:shd w:val="clear" w:color="auto" w:fill="FFFFFF"/>
          <w:lang w:eastAsia="en-AU" w:bidi="ar-SA"/>
        </w:rPr>
      </w:pPr>
    </w:p>
    <w:p w14:paraId="16D562A3" w14:textId="77777777" w:rsidR="00530B67" w:rsidRPr="00530B67" w:rsidRDefault="00530B67" w:rsidP="00EB4C07">
      <w:pPr>
        <w:pStyle w:val="FSCDraftingitemheading"/>
      </w:pPr>
      <w:r w:rsidRPr="00530B67">
        <w:rPr>
          <w:shd w:val="clear" w:color="auto" w:fill="FFFFFF"/>
        </w:rPr>
        <w:t>[39]</w:t>
      </w:r>
      <w:r w:rsidRPr="00530B67">
        <w:rPr>
          <w:shd w:val="clear" w:color="auto" w:fill="FFFFFF"/>
        </w:rPr>
        <w:tab/>
      </w:r>
      <w:r w:rsidRPr="00530B67">
        <w:t xml:space="preserve">Section S20—3 (table entry for </w:t>
      </w:r>
      <w:proofErr w:type="spellStart"/>
      <w:r w:rsidRPr="00530B67">
        <w:t>Agvet</w:t>
      </w:r>
      <w:proofErr w:type="spellEnd"/>
      <w:r w:rsidRPr="00530B67">
        <w:t xml:space="preserve"> chemical: Cyprodinil)</w:t>
      </w:r>
    </w:p>
    <w:p w14:paraId="1335BED1" w14:textId="77777777" w:rsidR="00530B67" w:rsidRPr="00530B67" w:rsidRDefault="00530B67" w:rsidP="00576D9D">
      <w:pPr>
        <w:pStyle w:val="FSCDraftingitem"/>
      </w:pPr>
      <w:r w:rsidRPr="00530B67">
        <w:rPr>
          <w:shd w:val="clear" w:color="auto" w:fill="FFFFFF"/>
        </w:rPr>
        <w:tab/>
      </w:r>
      <w:r w:rsidRPr="00530B67">
        <w:t>Omit:</w:t>
      </w:r>
    </w:p>
    <w:p w14:paraId="0FE602DD" w14:textId="77777777" w:rsidR="00530B67" w:rsidRPr="00530B67" w:rsidRDefault="00530B67" w:rsidP="008E682D">
      <w:pPr>
        <w:pStyle w:val="FSCtblMRL1"/>
      </w:pPr>
      <w:r w:rsidRPr="00530B67">
        <w:t>Peppers, chili (except dried)</w:t>
      </w:r>
    </w:p>
    <w:p w14:paraId="06088ED6" w14:textId="77777777" w:rsidR="00530B67" w:rsidRPr="00530B67" w:rsidRDefault="00530B67" w:rsidP="00576D9D">
      <w:pPr>
        <w:pStyle w:val="FSCDraftingitem"/>
      </w:pPr>
      <w:r w:rsidRPr="00530B67">
        <w:tab/>
        <w:t>substitute:</w:t>
      </w:r>
    </w:p>
    <w:p w14:paraId="115C6436" w14:textId="77777777" w:rsidR="00530B67" w:rsidRPr="00530B67" w:rsidRDefault="00530B67" w:rsidP="008E682D">
      <w:pPr>
        <w:pStyle w:val="FSCtblMRL1"/>
      </w:pPr>
      <w:r w:rsidRPr="00530B67">
        <w:t>Peppers, chili [except dried]</w:t>
      </w:r>
    </w:p>
    <w:p w14:paraId="207D3580" w14:textId="77777777" w:rsidR="00530B67" w:rsidRPr="00530B67" w:rsidRDefault="00530B67" w:rsidP="00530B67">
      <w:pPr>
        <w:widowControl/>
        <w:tabs>
          <w:tab w:val="left" w:pos="851"/>
        </w:tabs>
        <w:spacing w:before="120" w:after="120"/>
        <w:rPr>
          <w:rFonts w:cs="Arial"/>
          <w:sz w:val="18"/>
          <w:szCs w:val="20"/>
          <w:shd w:val="clear" w:color="auto" w:fill="FFFFFF"/>
          <w:lang w:eastAsia="en-AU" w:bidi="ar-SA"/>
        </w:rPr>
      </w:pPr>
    </w:p>
    <w:p w14:paraId="7E7A26B8" w14:textId="77777777" w:rsidR="00530B67" w:rsidRPr="00530B67" w:rsidRDefault="00530B67" w:rsidP="00EB4C07">
      <w:pPr>
        <w:pStyle w:val="FSCDraftingitemheading"/>
      </w:pPr>
      <w:r w:rsidRPr="00530B67">
        <w:rPr>
          <w:shd w:val="clear" w:color="auto" w:fill="FFFFFF"/>
        </w:rPr>
        <w:t>[40]</w:t>
      </w:r>
      <w:r w:rsidRPr="00530B67">
        <w:rPr>
          <w:shd w:val="clear" w:color="auto" w:fill="FFFFFF"/>
        </w:rPr>
        <w:tab/>
      </w:r>
      <w:r w:rsidRPr="00530B67">
        <w:t xml:space="preserve">Section S20—3 (table entry for </w:t>
      </w:r>
      <w:proofErr w:type="spellStart"/>
      <w:r w:rsidRPr="00530B67">
        <w:t>Agvet</w:t>
      </w:r>
      <w:proofErr w:type="spellEnd"/>
      <w:r w:rsidRPr="00530B67">
        <w:t xml:space="preserve"> chemical: </w:t>
      </w:r>
      <w:proofErr w:type="spellStart"/>
      <w:r w:rsidRPr="00530B67">
        <w:t>Didecyldimethylammonium</w:t>
      </w:r>
      <w:proofErr w:type="spellEnd"/>
      <w:r w:rsidRPr="00530B67">
        <w:t xml:space="preserve"> chloride)</w:t>
      </w:r>
    </w:p>
    <w:p w14:paraId="2F2C5C07" w14:textId="77777777" w:rsidR="00530B67" w:rsidRPr="00530B67" w:rsidRDefault="00530B67" w:rsidP="00576D9D">
      <w:pPr>
        <w:pStyle w:val="FSCDraftingitem"/>
      </w:pPr>
      <w:r w:rsidRPr="00530B67">
        <w:tab/>
        <w:t>Omit:</w:t>
      </w:r>
    </w:p>
    <w:p w14:paraId="53D343B2" w14:textId="77777777" w:rsidR="00530B67" w:rsidRPr="00530B67" w:rsidRDefault="00530B67" w:rsidP="008E682D">
      <w:pPr>
        <w:pStyle w:val="FSCtblMRL1"/>
      </w:pPr>
      <w:r w:rsidRPr="00530B67">
        <w:t>– inedible peel (except tamarillo (tree tomato))</w:t>
      </w:r>
    </w:p>
    <w:p w14:paraId="6AD8E49E" w14:textId="77777777" w:rsidR="00530B67" w:rsidRPr="00530B67" w:rsidRDefault="00530B67" w:rsidP="00576D9D">
      <w:pPr>
        <w:pStyle w:val="FSCDraftingitem"/>
      </w:pPr>
      <w:r w:rsidRPr="00530B67">
        <w:lastRenderedPageBreak/>
        <w:tab/>
        <w:t>substitute:</w:t>
      </w:r>
    </w:p>
    <w:p w14:paraId="1DC78340" w14:textId="77777777" w:rsidR="00530B67" w:rsidRPr="00530B67" w:rsidRDefault="00530B67" w:rsidP="008E682D">
      <w:pPr>
        <w:pStyle w:val="FSCtblMRL1"/>
      </w:pPr>
      <w:r w:rsidRPr="00530B67">
        <w:t>– inedible peel [except tamarillo (tree tomato)]</w:t>
      </w:r>
    </w:p>
    <w:p w14:paraId="0A02FFDA" w14:textId="77777777" w:rsidR="00530B67" w:rsidRPr="00530B67" w:rsidRDefault="00530B67" w:rsidP="00530B67">
      <w:pPr>
        <w:spacing w:before="120" w:after="120"/>
        <w:ind w:left="851" w:hanging="851"/>
        <w:rPr>
          <w:b/>
          <w:sz w:val="20"/>
          <w:szCs w:val="20"/>
          <w:lang w:bidi="ar-SA"/>
        </w:rPr>
      </w:pPr>
    </w:p>
    <w:p w14:paraId="301DFA41" w14:textId="77777777" w:rsidR="00530B67" w:rsidRPr="00530B67" w:rsidRDefault="00530B67" w:rsidP="00EB4C07">
      <w:pPr>
        <w:pStyle w:val="FSCDraftingitemheading"/>
      </w:pPr>
      <w:r w:rsidRPr="00530B67">
        <w:t>[41]</w:t>
      </w:r>
      <w:r w:rsidRPr="00530B67">
        <w:tab/>
        <w:t xml:space="preserve">Section S20—3 (table entry for </w:t>
      </w:r>
      <w:proofErr w:type="spellStart"/>
      <w:r w:rsidRPr="00530B67">
        <w:t>Agvet</w:t>
      </w:r>
      <w:proofErr w:type="spellEnd"/>
      <w:r w:rsidRPr="00530B67">
        <w:t xml:space="preserve"> chemical: Ethephon)</w:t>
      </w:r>
    </w:p>
    <w:p w14:paraId="091661F7" w14:textId="77777777" w:rsidR="00530B67" w:rsidRPr="00530B67" w:rsidRDefault="00530B67" w:rsidP="00576D9D">
      <w:pPr>
        <w:pStyle w:val="FSCDraftingitem"/>
        <w:rPr>
          <w:rFonts w:cs="Arial"/>
          <w:sz w:val="18"/>
          <w:lang w:eastAsia="en-AU"/>
        </w:rPr>
      </w:pPr>
      <w:r w:rsidRPr="00530B67">
        <w:tab/>
        <w:t xml:space="preserve">Omit: </w:t>
      </w:r>
      <w:r w:rsidRPr="00530B67">
        <w:rPr>
          <w:rFonts w:cs="Arial"/>
          <w:sz w:val="18"/>
          <w:lang w:eastAsia="en-AU"/>
        </w:rPr>
        <w:tab/>
      </w:r>
      <w:r w:rsidRPr="00530B67">
        <w:rPr>
          <w:rFonts w:cs="Arial"/>
          <w:sz w:val="18"/>
          <w:lang w:eastAsia="en-AU"/>
        </w:rPr>
        <w:tab/>
      </w:r>
    </w:p>
    <w:tbl>
      <w:tblPr>
        <w:tblStyle w:val="TableGrid123"/>
        <w:tblW w:w="46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994"/>
      </w:tblGrid>
      <w:tr w:rsidR="00530B67" w:rsidRPr="00530B67" w14:paraId="16CC9698" w14:textId="77777777" w:rsidTr="00530B67">
        <w:trPr>
          <w:cantSplit/>
          <w:trHeight w:val="539"/>
        </w:trPr>
        <w:tc>
          <w:tcPr>
            <w:tcW w:w="3686" w:type="dxa"/>
            <w:hideMark/>
          </w:tcPr>
          <w:p w14:paraId="3AB8E5BF" w14:textId="77777777" w:rsidR="00530B67" w:rsidRPr="00530B67" w:rsidRDefault="00530B67" w:rsidP="007104D0">
            <w:pPr>
              <w:pStyle w:val="FSCtblMRL1"/>
              <w:rPr>
                <w:lang w:eastAsia="en-GB"/>
              </w:rPr>
            </w:pPr>
            <w:r w:rsidRPr="00530B67">
              <w:rPr>
                <w:lang w:eastAsia="en-GB"/>
              </w:rPr>
              <w:t xml:space="preserve">All </w:t>
            </w:r>
            <w:r w:rsidRPr="00530B67">
              <w:t>other</w:t>
            </w:r>
            <w:r w:rsidRPr="00530B67">
              <w:rPr>
                <w:lang w:eastAsia="en-GB"/>
              </w:rPr>
              <w:t xml:space="preserve"> foods except animal commodities</w:t>
            </w:r>
          </w:p>
        </w:tc>
        <w:tc>
          <w:tcPr>
            <w:tcW w:w="994" w:type="dxa"/>
            <w:hideMark/>
          </w:tcPr>
          <w:p w14:paraId="62529FE2" w14:textId="77777777" w:rsidR="00530B67" w:rsidRPr="00530B67" w:rsidRDefault="00530B67" w:rsidP="007104D0">
            <w:pPr>
              <w:pStyle w:val="FSCtblMRL2"/>
            </w:pPr>
            <w:r w:rsidRPr="00530B67">
              <w:t>0.01</w:t>
            </w:r>
          </w:p>
        </w:tc>
      </w:tr>
    </w:tbl>
    <w:p w14:paraId="41B9F180" w14:textId="77777777" w:rsidR="00530B67" w:rsidRPr="00530B67" w:rsidRDefault="00530B67" w:rsidP="007104D0">
      <w:pPr>
        <w:pStyle w:val="FSCDraftingitem"/>
        <w:rPr>
          <w:rFonts w:cs="Arial"/>
          <w:sz w:val="18"/>
          <w:lang w:eastAsia="en-AU"/>
        </w:rPr>
      </w:pPr>
      <w:r w:rsidRPr="00530B67">
        <w:tab/>
        <w:t>substitute:</w:t>
      </w:r>
      <w:r w:rsidRPr="00530B67">
        <w:rPr>
          <w:rFonts w:cs="Arial"/>
          <w:sz w:val="18"/>
          <w:lang w:eastAsia="en-AU"/>
        </w:rPr>
        <w:tab/>
      </w:r>
      <w:r w:rsidRPr="00530B67">
        <w:rPr>
          <w:rFonts w:cs="Arial"/>
          <w:sz w:val="18"/>
          <w:lang w:eastAsia="en-AU"/>
        </w:rPr>
        <w:tab/>
      </w:r>
    </w:p>
    <w:tbl>
      <w:tblPr>
        <w:tblStyle w:val="TableGrid1231"/>
        <w:tblW w:w="46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979"/>
      </w:tblGrid>
      <w:tr w:rsidR="00530B67" w:rsidRPr="00530B67" w14:paraId="7F32139C" w14:textId="77777777" w:rsidTr="00530B67">
        <w:trPr>
          <w:cantSplit/>
          <w:trHeight w:val="584"/>
        </w:trPr>
        <w:tc>
          <w:tcPr>
            <w:tcW w:w="3686" w:type="dxa"/>
            <w:hideMark/>
          </w:tcPr>
          <w:p w14:paraId="1572A2C1" w14:textId="77777777" w:rsidR="00530B67" w:rsidRPr="00530B67" w:rsidRDefault="00530B67" w:rsidP="007104D0">
            <w:pPr>
              <w:pStyle w:val="FSCtblMRL1"/>
              <w:rPr>
                <w:lang w:eastAsia="en-GB"/>
              </w:rPr>
            </w:pPr>
            <w:r w:rsidRPr="00530B67">
              <w:rPr>
                <w:lang w:eastAsia="en-GB"/>
              </w:rPr>
              <w:t xml:space="preserve">All </w:t>
            </w:r>
            <w:r w:rsidRPr="00530B67">
              <w:t>other</w:t>
            </w:r>
            <w:r w:rsidRPr="00530B67">
              <w:rPr>
                <w:lang w:eastAsia="en-GB"/>
              </w:rPr>
              <w:t xml:space="preserve"> foods except animal food commodities</w:t>
            </w:r>
          </w:p>
        </w:tc>
        <w:tc>
          <w:tcPr>
            <w:tcW w:w="979" w:type="dxa"/>
            <w:hideMark/>
          </w:tcPr>
          <w:p w14:paraId="69DA8520" w14:textId="77777777" w:rsidR="00530B67" w:rsidRPr="00530B67" w:rsidRDefault="00530B67" w:rsidP="007104D0">
            <w:pPr>
              <w:pStyle w:val="FSCtblMRL2"/>
            </w:pPr>
            <w:r w:rsidRPr="00530B67">
              <w:t>0.1</w:t>
            </w:r>
          </w:p>
        </w:tc>
      </w:tr>
    </w:tbl>
    <w:p w14:paraId="3F273298" w14:textId="77777777" w:rsidR="00530B67" w:rsidRPr="00530B67" w:rsidRDefault="00530B67" w:rsidP="00263434">
      <w:pPr>
        <w:pStyle w:val="FSCDraftingitemheading"/>
      </w:pPr>
      <w:r w:rsidRPr="00530B67">
        <w:t>[42]</w:t>
      </w:r>
      <w:r w:rsidRPr="00530B67">
        <w:tab/>
        <w:t xml:space="preserve">Section S20—3 (table entry for </w:t>
      </w:r>
      <w:proofErr w:type="spellStart"/>
      <w:r w:rsidRPr="00530B67">
        <w:t>Agvet</w:t>
      </w:r>
      <w:proofErr w:type="spellEnd"/>
      <w:r w:rsidRPr="00530B67">
        <w:t xml:space="preserve"> chemical: Fludioxonil)</w:t>
      </w:r>
    </w:p>
    <w:p w14:paraId="5DCCD2D9" w14:textId="77777777" w:rsidR="00530B67" w:rsidRPr="00530B67" w:rsidRDefault="00530B67" w:rsidP="00942CFB">
      <w:pPr>
        <w:pStyle w:val="FSCDraftingitem"/>
      </w:pPr>
      <w:r w:rsidRPr="00530B67">
        <w:t>[42.1]</w:t>
      </w:r>
      <w:r w:rsidRPr="00530B67">
        <w:tab/>
        <w:t>Omit</w:t>
      </w:r>
      <w:r w:rsidRPr="00530B67">
        <w:rPr>
          <w:shd w:val="clear" w:color="auto" w:fill="FFFFFF"/>
        </w:rPr>
        <w:t>:</w:t>
      </w:r>
      <w:r w:rsidRPr="00530B67">
        <w:t xml:space="preserve"> </w:t>
      </w:r>
    </w:p>
    <w:p w14:paraId="15C1C2AD" w14:textId="77777777" w:rsidR="00530B67" w:rsidRPr="00530B67" w:rsidRDefault="00530B67" w:rsidP="00F90096">
      <w:pPr>
        <w:pStyle w:val="FSCtblMRL1"/>
      </w:pPr>
      <w:r w:rsidRPr="00530B67">
        <w:rPr>
          <w:lang w:eastAsia="en-GB"/>
        </w:rPr>
        <w:t>Bulb</w:t>
      </w:r>
      <w:r w:rsidRPr="00530B67">
        <w:t xml:space="preserve"> onions (= garlic; onion, bulb; shallots)</w:t>
      </w:r>
    </w:p>
    <w:p w14:paraId="45561348" w14:textId="77777777" w:rsidR="00530B67" w:rsidRPr="00530B67" w:rsidRDefault="00530B67" w:rsidP="00942CFB">
      <w:pPr>
        <w:pStyle w:val="FSCDraftingitem"/>
      </w:pPr>
      <w:r w:rsidRPr="00530B67">
        <w:tab/>
        <w:t>substitute:</w:t>
      </w:r>
    </w:p>
    <w:p w14:paraId="122E7FFC" w14:textId="77777777" w:rsidR="00530B67" w:rsidRPr="00530B67" w:rsidRDefault="00530B67" w:rsidP="00F90096">
      <w:pPr>
        <w:pStyle w:val="FSCtblMRL1"/>
      </w:pPr>
      <w:r w:rsidRPr="00530B67">
        <w:t>Bulb onions (garlic; onion, bulb; shallots)</w:t>
      </w:r>
    </w:p>
    <w:p w14:paraId="1CF09D52" w14:textId="77777777" w:rsidR="00530B67" w:rsidRPr="00530B67" w:rsidRDefault="00530B67" w:rsidP="00530B67">
      <w:pPr>
        <w:widowControl/>
        <w:tabs>
          <w:tab w:val="left" w:pos="851"/>
        </w:tabs>
        <w:spacing w:before="120" w:after="120"/>
        <w:rPr>
          <w:sz w:val="20"/>
          <w:szCs w:val="20"/>
          <w:lang w:bidi="ar-SA"/>
        </w:rPr>
      </w:pPr>
    </w:p>
    <w:p w14:paraId="55D02429" w14:textId="77777777" w:rsidR="00530B67" w:rsidRPr="00530B67" w:rsidRDefault="00530B67" w:rsidP="00942CFB">
      <w:pPr>
        <w:pStyle w:val="FSCDraftingitem"/>
      </w:pPr>
      <w:r w:rsidRPr="00530B67">
        <w:t>[42.2]</w:t>
      </w:r>
      <w:r w:rsidRPr="00530B67">
        <w:tab/>
        <w:t>Omit:</w:t>
      </w:r>
    </w:p>
    <w:p w14:paraId="2D081CC7" w14:textId="77777777" w:rsidR="00530B67" w:rsidRPr="00530B67" w:rsidRDefault="00530B67" w:rsidP="00F90096">
      <w:pPr>
        <w:pStyle w:val="FSCtblMRL1"/>
      </w:pPr>
      <w:r w:rsidRPr="00530B67">
        <w:t>Peppers, chili (except dried)</w:t>
      </w:r>
    </w:p>
    <w:p w14:paraId="2B44B6A4" w14:textId="77777777" w:rsidR="00530B67" w:rsidRPr="00530B67" w:rsidRDefault="00530B67" w:rsidP="00942CFB">
      <w:pPr>
        <w:pStyle w:val="FSCDraftingitem"/>
      </w:pPr>
      <w:r w:rsidRPr="00530B67">
        <w:tab/>
        <w:t>substitute:</w:t>
      </w:r>
    </w:p>
    <w:p w14:paraId="061F7BD6" w14:textId="77777777" w:rsidR="00530B67" w:rsidRPr="00530B67" w:rsidRDefault="00530B67" w:rsidP="00F90096">
      <w:pPr>
        <w:pStyle w:val="FSCtblMRL1"/>
      </w:pPr>
      <w:r w:rsidRPr="00530B67">
        <w:t>Peppers, chili [except dried]</w:t>
      </w:r>
    </w:p>
    <w:p w14:paraId="00DE7472" w14:textId="77777777" w:rsidR="00530B67" w:rsidRPr="00530B67" w:rsidRDefault="00530B67" w:rsidP="00530B67">
      <w:pPr>
        <w:spacing w:before="120" w:after="120"/>
        <w:ind w:left="851" w:hanging="851"/>
        <w:rPr>
          <w:b/>
          <w:sz w:val="20"/>
          <w:szCs w:val="20"/>
          <w:shd w:val="clear" w:color="auto" w:fill="FFFFFF"/>
          <w:lang w:bidi="ar-SA"/>
        </w:rPr>
      </w:pPr>
    </w:p>
    <w:p w14:paraId="7125F9A0" w14:textId="77777777" w:rsidR="00530B67" w:rsidRPr="00530B67" w:rsidRDefault="00530B67" w:rsidP="00263434">
      <w:pPr>
        <w:pStyle w:val="FSCDraftingitemheading"/>
        <w:rPr>
          <w:shd w:val="clear" w:color="auto" w:fill="FFFFFF"/>
        </w:rPr>
      </w:pPr>
      <w:r w:rsidRPr="00530B67">
        <w:rPr>
          <w:shd w:val="clear" w:color="auto" w:fill="FFFFFF"/>
        </w:rPr>
        <w:t>[43]</w:t>
      </w:r>
      <w:r w:rsidRPr="00530B67">
        <w:rPr>
          <w:shd w:val="clear" w:color="auto" w:fill="FFFFFF"/>
        </w:rPr>
        <w:tab/>
      </w:r>
      <w:r w:rsidRPr="00530B67">
        <w:t>Section</w:t>
      </w:r>
      <w:r w:rsidRPr="00530B67">
        <w:rPr>
          <w:shd w:val="clear" w:color="auto" w:fill="FFFFFF"/>
        </w:rPr>
        <w:t xml:space="preserve"> S20—3 (table entry for </w:t>
      </w:r>
      <w:proofErr w:type="spellStart"/>
      <w:r w:rsidRPr="00530B67">
        <w:rPr>
          <w:shd w:val="clear" w:color="auto" w:fill="FFFFFF"/>
        </w:rPr>
        <w:t>Agvet</w:t>
      </w:r>
      <w:proofErr w:type="spellEnd"/>
      <w:r w:rsidRPr="00530B67">
        <w:rPr>
          <w:shd w:val="clear" w:color="auto" w:fill="FFFFFF"/>
        </w:rPr>
        <w:t xml:space="preserve"> chemical: </w:t>
      </w:r>
      <w:proofErr w:type="spellStart"/>
      <w:r w:rsidRPr="00530B67">
        <w:rPr>
          <w:shd w:val="clear" w:color="auto" w:fill="FFFFFF"/>
        </w:rPr>
        <w:t>Fluoxapiprolin</w:t>
      </w:r>
      <w:proofErr w:type="spellEnd"/>
      <w:r w:rsidRPr="00530B67">
        <w:rPr>
          <w:shd w:val="clear" w:color="auto" w:fill="FFFFFF"/>
        </w:rPr>
        <w:t>)</w:t>
      </w:r>
    </w:p>
    <w:p w14:paraId="58E66284" w14:textId="77777777" w:rsidR="00530B67" w:rsidRPr="00530B67" w:rsidRDefault="00530B67" w:rsidP="00942CFB">
      <w:pPr>
        <w:pStyle w:val="FSCDraftingitem"/>
        <w:rPr>
          <w:shd w:val="clear" w:color="auto" w:fill="FFFFFF"/>
        </w:rPr>
      </w:pPr>
      <w:r w:rsidRPr="00530B67">
        <w:rPr>
          <w:shd w:val="clear" w:color="auto" w:fill="FFFFFF"/>
        </w:rPr>
        <w:t>[43.1]</w:t>
      </w:r>
      <w:r w:rsidRPr="00530B67">
        <w:rPr>
          <w:shd w:val="clear" w:color="auto" w:fill="FFFFFF"/>
        </w:rPr>
        <w:tab/>
      </w:r>
      <w:r w:rsidRPr="00530B67">
        <w:t>Omit</w:t>
      </w:r>
      <w:r w:rsidRPr="00530B67">
        <w:rPr>
          <w:shd w:val="clear" w:color="auto" w:fill="FFFFFF"/>
        </w:rPr>
        <w:t xml:space="preserve"> the chemical listed and all entries for the chemical</w:t>
      </w:r>
    </w:p>
    <w:p w14:paraId="195E3CD8" w14:textId="77777777" w:rsidR="00530B67" w:rsidRPr="00530B67" w:rsidRDefault="00530B67" w:rsidP="00530B67">
      <w:pPr>
        <w:widowControl/>
        <w:tabs>
          <w:tab w:val="left" w:pos="851"/>
        </w:tabs>
        <w:spacing w:before="120" w:after="120"/>
        <w:ind w:left="850" w:hanging="850"/>
        <w:rPr>
          <w:bCs/>
          <w:sz w:val="20"/>
          <w:szCs w:val="20"/>
          <w:shd w:val="clear" w:color="auto" w:fill="FFFFFF"/>
          <w:lang w:bidi="ar-SA"/>
        </w:rPr>
      </w:pPr>
    </w:p>
    <w:p w14:paraId="4F50EA9B" w14:textId="77777777" w:rsidR="00530B67" w:rsidRPr="00530B67" w:rsidRDefault="00530B67" w:rsidP="00942CFB">
      <w:pPr>
        <w:pStyle w:val="FSCDraftingitem"/>
        <w:ind w:left="851" w:hanging="851"/>
        <w:rPr>
          <w:shd w:val="clear" w:color="auto" w:fill="FFFFFF"/>
        </w:rPr>
      </w:pPr>
      <w:r w:rsidRPr="00530B67">
        <w:rPr>
          <w:bCs/>
          <w:shd w:val="clear" w:color="auto" w:fill="FFFFFF"/>
        </w:rPr>
        <w:t>[43.2]</w:t>
      </w:r>
      <w:r w:rsidRPr="00530B67">
        <w:rPr>
          <w:b/>
          <w:shd w:val="clear" w:color="auto" w:fill="FFFFFF"/>
        </w:rPr>
        <w:tab/>
      </w:r>
      <w:r w:rsidRPr="00530B67">
        <w:rPr>
          <w:shd w:val="clear" w:color="auto" w:fill="FFFFFF"/>
        </w:rPr>
        <w:t>Insert in alphabetical order, the following chemical, its corresponding residue definition(s), food commodities and associated MRLs.</w:t>
      </w:r>
    </w:p>
    <w:tbl>
      <w:tblPr>
        <w:tblW w:w="0" w:type="auto"/>
        <w:tblInd w:w="-168" w:type="dxa"/>
        <w:tblLayout w:type="fixed"/>
        <w:tblLook w:val="04A0" w:firstRow="1" w:lastRow="0" w:firstColumn="1" w:lastColumn="0" w:noHBand="0" w:noVBand="1"/>
      </w:tblPr>
      <w:tblGrid>
        <w:gridCol w:w="2137"/>
        <w:gridCol w:w="2137"/>
      </w:tblGrid>
      <w:tr w:rsidR="00530B67" w:rsidRPr="00530B67" w14:paraId="6E386167" w14:textId="77777777" w:rsidTr="00530B67">
        <w:trPr>
          <w:trHeight w:val="84"/>
        </w:trPr>
        <w:tc>
          <w:tcPr>
            <w:tcW w:w="4274" w:type="dxa"/>
            <w:gridSpan w:val="2"/>
            <w:tcBorders>
              <w:top w:val="nil"/>
              <w:left w:val="nil"/>
              <w:bottom w:val="nil"/>
              <w:right w:val="nil"/>
            </w:tcBorders>
            <w:hideMark/>
          </w:tcPr>
          <w:p w14:paraId="6E4528BA" w14:textId="77777777" w:rsidR="00530B67" w:rsidRPr="00530B67" w:rsidRDefault="00530B67" w:rsidP="00726393">
            <w:pPr>
              <w:pStyle w:val="FSCtblh3"/>
              <w:rPr>
                <w:lang w:val="en-AU"/>
              </w:rPr>
            </w:pPr>
            <w:proofErr w:type="spellStart"/>
            <w:r w:rsidRPr="00530B67">
              <w:rPr>
                <w:lang w:val="en-AU"/>
              </w:rPr>
              <w:t>Agvet</w:t>
            </w:r>
            <w:proofErr w:type="spellEnd"/>
            <w:r w:rsidRPr="00530B67">
              <w:rPr>
                <w:lang w:val="en-AU"/>
              </w:rPr>
              <w:t xml:space="preserve"> chemical: </w:t>
            </w:r>
            <w:proofErr w:type="spellStart"/>
            <w:r w:rsidRPr="00530B67">
              <w:rPr>
                <w:lang w:val="en-AU"/>
              </w:rPr>
              <w:t>Fluoxapiprolin</w:t>
            </w:r>
            <w:proofErr w:type="spellEnd"/>
            <w:r w:rsidRPr="00530B67">
              <w:rPr>
                <w:lang w:val="en-AU"/>
              </w:rPr>
              <w:t xml:space="preserve"> </w:t>
            </w:r>
          </w:p>
        </w:tc>
      </w:tr>
      <w:tr w:rsidR="00530B67" w:rsidRPr="00530B67" w14:paraId="3219CC72" w14:textId="77777777" w:rsidTr="00530B67">
        <w:trPr>
          <w:trHeight w:val="84"/>
        </w:trPr>
        <w:tc>
          <w:tcPr>
            <w:tcW w:w="4274" w:type="dxa"/>
            <w:gridSpan w:val="2"/>
            <w:tcBorders>
              <w:top w:val="nil"/>
              <w:left w:val="nil"/>
              <w:bottom w:val="nil"/>
              <w:right w:val="nil"/>
            </w:tcBorders>
            <w:hideMark/>
          </w:tcPr>
          <w:p w14:paraId="03FD93C0" w14:textId="77777777" w:rsidR="00530B67" w:rsidRPr="00530B67" w:rsidRDefault="00530B67" w:rsidP="00726393">
            <w:pPr>
              <w:pStyle w:val="FSCtblh4"/>
              <w:rPr>
                <w:lang w:val="en-AU"/>
              </w:rPr>
            </w:pPr>
            <w:r w:rsidRPr="00530B67">
              <w:rPr>
                <w:lang w:val="en-AU"/>
              </w:rPr>
              <w:t xml:space="preserve">Permitted residue: </w:t>
            </w:r>
            <w:proofErr w:type="spellStart"/>
            <w:r w:rsidRPr="00530B67">
              <w:rPr>
                <w:lang w:val="en-AU"/>
              </w:rPr>
              <w:t>Fluoxapiprolin</w:t>
            </w:r>
            <w:proofErr w:type="spellEnd"/>
            <w:r w:rsidRPr="00530B67">
              <w:rPr>
                <w:lang w:val="en-AU"/>
              </w:rPr>
              <w:t xml:space="preserve"> </w:t>
            </w:r>
          </w:p>
        </w:tc>
      </w:tr>
      <w:tr w:rsidR="00530B67" w:rsidRPr="00530B67" w14:paraId="28F73734" w14:textId="77777777" w:rsidTr="00530B67">
        <w:trPr>
          <w:trHeight w:val="190"/>
        </w:trPr>
        <w:tc>
          <w:tcPr>
            <w:tcW w:w="2137" w:type="dxa"/>
            <w:tcBorders>
              <w:top w:val="nil"/>
              <w:left w:val="nil"/>
              <w:bottom w:val="nil"/>
              <w:right w:val="nil"/>
            </w:tcBorders>
            <w:hideMark/>
          </w:tcPr>
          <w:p w14:paraId="22C504E3" w14:textId="77777777" w:rsidR="00530B67" w:rsidRPr="00530B67" w:rsidRDefault="00530B67" w:rsidP="00F90096">
            <w:pPr>
              <w:pStyle w:val="FSCtblMRL1"/>
            </w:pPr>
            <w:r w:rsidRPr="00530B67">
              <w:t xml:space="preserve">Dried grapes (= currants, raisins and sultanas) </w:t>
            </w:r>
          </w:p>
        </w:tc>
        <w:tc>
          <w:tcPr>
            <w:tcW w:w="2137" w:type="dxa"/>
            <w:tcBorders>
              <w:top w:val="nil"/>
              <w:left w:val="nil"/>
              <w:bottom w:val="nil"/>
              <w:right w:val="nil"/>
            </w:tcBorders>
            <w:hideMark/>
          </w:tcPr>
          <w:p w14:paraId="7B593946" w14:textId="77777777" w:rsidR="00530B67" w:rsidRPr="00530B67" w:rsidRDefault="00530B67" w:rsidP="00726393">
            <w:pPr>
              <w:pStyle w:val="FSCtblMRL2"/>
              <w:rPr>
                <w:lang w:val="en-AU" w:eastAsia="en-GB"/>
              </w:rPr>
            </w:pPr>
            <w:r w:rsidRPr="00530B67">
              <w:rPr>
                <w:lang w:val="en-AU" w:eastAsia="en-GB"/>
              </w:rPr>
              <w:t xml:space="preserve">0.5 </w:t>
            </w:r>
          </w:p>
        </w:tc>
      </w:tr>
      <w:tr w:rsidR="00530B67" w:rsidRPr="00530B67" w14:paraId="5F44E522" w14:textId="77777777" w:rsidTr="00530B67">
        <w:trPr>
          <w:trHeight w:val="84"/>
        </w:trPr>
        <w:tc>
          <w:tcPr>
            <w:tcW w:w="2137" w:type="dxa"/>
            <w:tcBorders>
              <w:top w:val="nil"/>
              <w:left w:val="nil"/>
              <w:bottom w:val="nil"/>
              <w:right w:val="nil"/>
            </w:tcBorders>
            <w:hideMark/>
          </w:tcPr>
          <w:p w14:paraId="2F0D9AA3" w14:textId="77777777" w:rsidR="00530B67" w:rsidRPr="00530B67" w:rsidRDefault="00530B67" w:rsidP="00F90096">
            <w:pPr>
              <w:pStyle w:val="FSCtblMRL1"/>
            </w:pPr>
            <w:r w:rsidRPr="00530B67">
              <w:t xml:space="preserve">Edible offal (mammalian) </w:t>
            </w:r>
          </w:p>
        </w:tc>
        <w:tc>
          <w:tcPr>
            <w:tcW w:w="2137" w:type="dxa"/>
            <w:tcBorders>
              <w:top w:val="nil"/>
              <w:left w:val="nil"/>
              <w:bottom w:val="nil"/>
              <w:right w:val="nil"/>
            </w:tcBorders>
            <w:hideMark/>
          </w:tcPr>
          <w:p w14:paraId="37F22367" w14:textId="77777777" w:rsidR="00530B67" w:rsidRPr="00530B67" w:rsidRDefault="00530B67" w:rsidP="00726393">
            <w:pPr>
              <w:pStyle w:val="FSCtblMRL2"/>
              <w:rPr>
                <w:lang w:val="en-AU" w:eastAsia="en-GB"/>
              </w:rPr>
            </w:pPr>
            <w:r w:rsidRPr="00530B67">
              <w:rPr>
                <w:lang w:val="en-AU" w:eastAsia="en-GB"/>
              </w:rPr>
              <w:t xml:space="preserve">*0.01 </w:t>
            </w:r>
          </w:p>
        </w:tc>
      </w:tr>
      <w:tr w:rsidR="00530B67" w:rsidRPr="00530B67" w14:paraId="3F366390" w14:textId="77777777" w:rsidTr="00530B67">
        <w:trPr>
          <w:trHeight w:val="84"/>
        </w:trPr>
        <w:tc>
          <w:tcPr>
            <w:tcW w:w="2137" w:type="dxa"/>
            <w:tcBorders>
              <w:top w:val="nil"/>
              <w:left w:val="nil"/>
              <w:bottom w:val="nil"/>
              <w:right w:val="nil"/>
            </w:tcBorders>
            <w:hideMark/>
          </w:tcPr>
          <w:p w14:paraId="71172476" w14:textId="77777777" w:rsidR="00530B67" w:rsidRPr="00530B67" w:rsidRDefault="00530B67" w:rsidP="00F90096">
            <w:pPr>
              <w:pStyle w:val="FSCtblMRL1"/>
            </w:pPr>
            <w:r w:rsidRPr="00530B67">
              <w:t xml:space="preserve">Eggs </w:t>
            </w:r>
          </w:p>
        </w:tc>
        <w:tc>
          <w:tcPr>
            <w:tcW w:w="2137" w:type="dxa"/>
            <w:tcBorders>
              <w:top w:val="nil"/>
              <w:left w:val="nil"/>
              <w:bottom w:val="nil"/>
              <w:right w:val="nil"/>
            </w:tcBorders>
            <w:hideMark/>
          </w:tcPr>
          <w:p w14:paraId="1FDEBE47" w14:textId="77777777" w:rsidR="00530B67" w:rsidRPr="00530B67" w:rsidRDefault="00530B67" w:rsidP="00726393">
            <w:pPr>
              <w:pStyle w:val="FSCtblMRL2"/>
              <w:rPr>
                <w:lang w:val="en-AU" w:eastAsia="en-GB"/>
              </w:rPr>
            </w:pPr>
            <w:r w:rsidRPr="00530B67">
              <w:rPr>
                <w:lang w:val="en-AU" w:eastAsia="en-GB"/>
              </w:rPr>
              <w:t xml:space="preserve">*0.01 </w:t>
            </w:r>
          </w:p>
        </w:tc>
      </w:tr>
      <w:tr w:rsidR="00530B67" w:rsidRPr="00530B67" w14:paraId="3C0446FB" w14:textId="77777777" w:rsidTr="00530B67">
        <w:trPr>
          <w:trHeight w:val="84"/>
        </w:trPr>
        <w:tc>
          <w:tcPr>
            <w:tcW w:w="2137" w:type="dxa"/>
            <w:tcBorders>
              <w:top w:val="nil"/>
              <w:left w:val="nil"/>
              <w:bottom w:val="nil"/>
              <w:right w:val="nil"/>
            </w:tcBorders>
            <w:hideMark/>
          </w:tcPr>
          <w:p w14:paraId="249666E0" w14:textId="77777777" w:rsidR="00530B67" w:rsidRPr="00530B67" w:rsidRDefault="00530B67" w:rsidP="00F90096">
            <w:pPr>
              <w:pStyle w:val="FSCtblMRL1"/>
            </w:pPr>
            <w:r w:rsidRPr="00530B67">
              <w:t xml:space="preserve">Grapes </w:t>
            </w:r>
          </w:p>
        </w:tc>
        <w:tc>
          <w:tcPr>
            <w:tcW w:w="2137" w:type="dxa"/>
            <w:tcBorders>
              <w:top w:val="nil"/>
              <w:left w:val="nil"/>
              <w:bottom w:val="nil"/>
              <w:right w:val="nil"/>
            </w:tcBorders>
            <w:hideMark/>
          </w:tcPr>
          <w:p w14:paraId="38F577DE" w14:textId="77777777" w:rsidR="00530B67" w:rsidRPr="00530B67" w:rsidRDefault="00530B67" w:rsidP="00726393">
            <w:pPr>
              <w:pStyle w:val="FSCtblMRL2"/>
              <w:rPr>
                <w:lang w:val="en-AU" w:eastAsia="en-GB"/>
              </w:rPr>
            </w:pPr>
            <w:r w:rsidRPr="00530B67">
              <w:rPr>
                <w:lang w:val="en-AU" w:eastAsia="en-GB"/>
              </w:rPr>
              <w:t xml:space="preserve">0.15 </w:t>
            </w:r>
          </w:p>
        </w:tc>
      </w:tr>
      <w:tr w:rsidR="00530B67" w:rsidRPr="00530B67" w14:paraId="579240F5" w14:textId="77777777" w:rsidTr="00530B67">
        <w:trPr>
          <w:trHeight w:val="84"/>
        </w:trPr>
        <w:tc>
          <w:tcPr>
            <w:tcW w:w="2137" w:type="dxa"/>
            <w:tcBorders>
              <w:top w:val="nil"/>
              <w:left w:val="nil"/>
              <w:bottom w:val="nil"/>
              <w:right w:val="nil"/>
            </w:tcBorders>
            <w:hideMark/>
          </w:tcPr>
          <w:p w14:paraId="0B23E207" w14:textId="77777777" w:rsidR="00530B67" w:rsidRPr="00530B67" w:rsidRDefault="00530B67" w:rsidP="00F90096">
            <w:pPr>
              <w:pStyle w:val="FSCtblMRL1"/>
            </w:pPr>
            <w:r w:rsidRPr="00530B67">
              <w:t xml:space="preserve">Meat (mammalian) [in the fat] </w:t>
            </w:r>
          </w:p>
        </w:tc>
        <w:tc>
          <w:tcPr>
            <w:tcW w:w="2137" w:type="dxa"/>
            <w:tcBorders>
              <w:top w:val="nil"/>
              <w:left w:val="nil"/>
              <w:bottom w:val="nil"/>
              <w:right w:val="nil"/>
            </w:tcBorders>
            <w:hideMark/>
          </w:tcPr>
          <w:p w14:paraId="7AA2EE05" w14:textId="77777777" w:rsidR="00530B67" w:rsidRPr="00530B67" w:rsidRDefault="00530B67" w:rsidP="00726393">
            <w:pPr>
              <w:pStyle w:val="FSCtblMRL2"/>
              <w:rPr>
                <w:lang w:val="en-AU" w:eastAsia="en-GB"/>
              </w:rPr>
            </w:pPr>
            <w:r w:rsidRPr="00530B67">
              <w:rPr>
                <w:lang w:val="en-AU" w:eastAsia="en-GB"/>
              </w:rPr>
              <w:t xml:space="preserve">*0.01 </w:t>
            </w:r>
          </w:p>
        </w:tc>
      </w:tr>
      <w:tr w:rsidR="00530B67" w:rsidRPr="00530B67" w14:paraId="58275931" w14:textId="77777777" w:rsidTr="00530B67">
        <w:trPr>
          <w:trHeight w:val="84"/>
        </w:trPr>
        <w:tc>
          <w:tcPr>
            <w:tcW w:w="2137" w:type="dxa"/>
            <w:tcBorders>
              <w:top w:val="nil"/>
              <w:left w:val="nil"/>
              <w:bottom w:val="nil"/>
              <w:right w:val="nil"/>
            </w:tcBorders>
            <w:hideMark/>
          </w:tcPr>
          <w:p w14:paraId="20D2DCAF" w14:textId="77777777" w:rsidR="00530B67" w:rsidRPr="00530B67" w:rsidRDefault="00530B67" w:rsidP="00F90096">
            <w:pPr>
              <w:pStyle w:val="FSCtblMRL1"/>
            </w:pPr>
            <w:r w:rsidRPr="00530B67">
              <w:t xml:space="preserve">Milks </w:t>
            </w:r>
          </w:p>
        </w:tc>
        <w:tc>
          <w:tcPr>
            <w:tcW w:w="2137" w:type="dxa"/>
            <w:tcBorders>
              <w:top w:val="nil"/>
              <w:left w:val="nil"/>
              <w:bottom w:val="nil"/>
              <w:right w:val="nil"/>
            </w:tcBorders>
            <w:hideMark/>
          </w:tcPr>
          <w:p w14:paraId="5468EBB5" w14:textId="77777777" w:rsidR="00530B67" w:rsidRPr="00530B67" w:rsidRDefault="00530B67" w:rsidP="00726393">
            <w:pPr>
              <w:pStyle w:val="FSCtblMRL2"/>
              <w:rPr>
                <w:lang w:val="en-AU" w:eastAsia="en-GB"/>
              </w:rPr>
            </w:pPr>
            <w:r w:rsidRPr="00530B67">
              <w:rPr>
                <w:lang w:val="en-AU" w:eastAsia="en-GB"/>
              </w:rPr>
              <w:t xml:space="preserve">*0.01 </w:t>
            </w:r>
          </w:p>
        </w:tc>
      </w:tr>
      <w:tr w:rsidR="00530B67" w:rsidRPr="00530B67" w14:paraId="0BD33845" w14:textId="77777777" w:rsidTr="00530B67">
        <w:trPr>
          <w:trHeight w:val="84"/>
        </w:trPr>
        <w:tc>
          <w:tcPr>
            <w:tcW w:w="2137" w:type="dxa"/>
            <w:tcBorders>
              <w:top w:val="nil"/>
              <w:left w:val="nil"/>
              <w:bottom w:val="nil"/>
              <w:right w:val="nil"/>
            </w:tcBorders>
            <w:hideMark/>
          </w:tcPr>
          <w:p w14:paraId="78958FDA" w14:textId="77777777" w:rsidR="00530B67" w:rsidRPr="00530B67" w:rsidRDefault="00530B67" w:rsidP="00F90096">
            <w:pPr>
              <w:pStyle w:val="FSCtblMRL1"/>
            </w:pPr>
            <w:r w:rsidRPr="00530B67">
              <w:t xml:space="preserve">Poultry, edible offal of </w:t>
            </w:r>
          </w:p>
        </w:tc>
        <w:tc>
          <w:tcPr>
            <w:tcW w:w="2137" w:type="dxa"/>
            <w:tcBorders>
              <w:top w:val="nil"/>
              <w:left w:val="nil"/>
              <w:bottom w:val="nil"/>
              <w:right w:val="nil"/>
            </w:tcBorders>
            <w:hideMark/>
          </w:tcPr>
          <w:p w14:paraId="1CBCA358" w14:textId="77777777" w:rsidR="00530B67" w:rsidRPr="00530B67" w:rsidRDefault="00530B67" w:rsidP="00726393">
            <w:pPr>
              <w:pStyle w:val="FSCtblMRL2"/>
              <w:rPr>
                <w:lang w:val="en-AU" w:eastAsia="en-GB"/>
              </w:rPr>
            </w:pPr>
            <w:r w:rsidRPr="00530B67">
              <w:rPr>
                <w:lang w:val="en-AU" w:eastAsia="en-GB"/>
              </w:rPr>
              <w:t xml:space="preserve">*0.01 </w:t>
            </w:r>
          </w:p>
        </w:tc>
      </w:tr>
      <w:tr w:rsidR="00530B67" w:rsidRPr="00530B67" w14:paraId="42908087" w14:textId="77777777" w:rsidTr="00530B67">
        <w:trPr>
          <w:trHeight w:val="84"/>
        </w:trPr>
        <w:tc>
          <w:tcPr>
            <w:tcW w:w="2137" w:type="dxa"/>
            <w:tcBorders>
              <w:top w:val="nil"/>
              <w:left w:val="nil"/>
              <w:bottom w:val="nil"/>
              <w:right w:val="nil"/>
            </w:tcBorders>
            <w:hideMark/>
          </w:tcPr>
          <w:p w14:paraId="4122659D" w14:textId="77777777" w:rsidR="00530B67" w:rsidRPr="00530B67" w:rsidRDefault="00530B67" w:rsidP="00F90096">
            <w:pPr>
              <w:pStyle w:val="FSCtblMRL1"/>
            </w:pPr>
            <w:r w:rsidRPr="00530B67">
              <w:t xml:space="preserve">Poultry meat [in the fat] </w:t>
            </w:r>
          </w:p>
        </w:tc>
        <w:tc>
          <w:tcPr>
            <w:tcW w:w="2137" w:type="dxa"/>
            <w:tcBorders>
              <w:top w:val="nil"/>
              <w:left w:val="nil"/>
              <w:bottom w:val="nil"/>
              <w:right w:val="nil"/>
            </w:tcBorders>
            <w:hideMark/>
          </w:tcPr>
          <w:p w14:paraId="5FA11ADD" w14:textId="77777777" w:rsidR="00530B67" w:rsidRPr="00530B67" w:rsidRDefault="00530B67" w:rsidP="00726393">
            <w:pPr>
              <w:pStyle w:val="FSCtblMRL2"/>
              <w:rPr>
                <w:lang w:val="en-AU" w:eastAsia="en-GB"/>
              </w:rPr>
            </w:pPr>
            <w:r w:rsidRPr="00530B67">
              <w:rPr>
                <w:lang w:val="en-AU" w:eastAsia="en-GB"/>
              </w:rPr>
              <w:t xml:space="preserve">*0.01 </w:t>
            </w:r>
          </w:p>
        </w:tc>
      </w:tr>
    </w:tbl>
    <w:p w14:paraId="3C9F98A1" w14:textId="77777777" w:rsidR="00530B67" w:rsidRPr="00530B67" w:rsidRDefault="00530B67" w:rsidP="00530B67">
      <w:pPr>
        <w:spacing w:before="120" w:after="120"/>
        <w:rPr>
          <w:b/>
          <w:sz w:val="20"/>
          <w:szCs w:val="20"/>
          <w:shd w:val="clear" w:color="auto" w:fill="FFFFFF"/>
          <w:lang w:bidi="ar-SA"/>
        </w:rPr>
      </w:pPr>
    </w:p>
    <w:p w14:paraId="51AF2D4E" w14:textId="77777777" w:rsidR="00530B67" w:rsidRPr="00530B67" w:rsidRDefault="00530B67" w:rsidP="00263434">
      <w:pPr>
        <w:pStyle w:val="FSCDraftingitemheading"/>
      </w:pPr>
      <w:r w:rsidRPr="00530B67">
        <w:rPr>
          <w:shd w:val="clear" w:color="auto" w:fill="FFFFFF"/>
        </w:rPr>
        <w:t>[44]</w:t>
      </w:r>
      <w:r w:rsidRPr="00530B67">
        <w:rPr>
          <w:shd w:val="clear" w:color="auto" w:fill="FFFFFF"/>
        </w:rPr>
        <w:tab/>
      </w:r>
      <w:r w:rsidRPr="00530B67">
        <w:t xml:space="preserve">Section S20—3 (table entry for </w:t>
      </w:r>
      <w:proofErr w:type="spellStart"/>
      <w:r w:rsidRPr="00530B67">
        <w:t>Agvet</w:t>
      </w:r>
      <w:proofErr w:type="spellEnd"/>
      <w:r w:rsidRPr="00530B67">
        <w:t xml:space="preserve"> chemical: Fluxapyroxad)</w:t>
      </w:r>
    </w:p>
    <w:p w14:paraId="4869FADA" w14:textId="77777777" w:rsidR="00530B67" w:rsidRPr="00530B67" w:rsidRDefault="00530B67" w:rsidP="006A1136">
      <w:pPr>
        <w:pStyle w:val="FSCDraftingitem"/>
        <w:ind w:left="851" w:hanging="851"/>
        <w:rPr>
          <w:shd w:val="clear" w:color="auto" w:fill="FFFFFF"/>
        </w:rPr>
      </w:pPr>
      <w:r w:rsidRPr="00530B67">
        <w:rPr>
          <w:shd w:val="clear" w:color="auto" w:fill="FFFFFF"/>
        </w:rPr>
        <w:tab/>
        <w:t>Omit:</w:t>
      </w:r>
    </w:p>
    <w:p w14:paraId="24C95E28" w14:textId="77777777" w:rsidR="00530B67" w:rsidRPr="00530B67" w:rsidRDefault="00530B67" w:rsidP="00F90096">
      <w:pPr>
        <w:pStyle w:val="FSCtblMRL1"/>
        <w:rPr>
          <w:shd w:val="clear" w:color="auto" w:fill="FFFFFF"/>
        </w:rPr>
      </w:pPr>
      <w:r w:rsidRPr="00530B67">
        <w:lastRenderedPageBreak/>
        <w:t>Berries</w:t>
      </w:r>
      <w:r w:rsidRPr="00530B67">
        <w:rPr>
          <w:shd w:val="clear" w:color="auto" w:fill="FFFFFF"/>
        </w:rPr>
        <w:t xml:space="preserve"> and other small fruit (except grapes)</w:t>
      </w:r>
    </w:p>
    <w:p w14:paraId="5C2DD9A7" w14:textId="77777777" w:rsidR="00530B67" w:rsidRPr="00530B67" w:rsidRDefault="00530B67" w:rsidP="006A1136">
      <w:pPr>
        <w:pStyle w:val="FSCDraftingitem"/>
        <w:ind w:left="851" w:hanging="851"/>
        <w:rPr>
          <w:shd w:val="clear" w:color="auto" w:fill="FFFFFF"/>
        </w:rPr>
      </w:pPr>
      <w:r w:rsidRPr="00530B67">
        <w:rPr>
          <w:shd w:val="clear" w:color="auto" w:fill="FFFFFF"/>
        </w:rPr>
        <w:tab/>
        <w:t>substitute:</w:t>
      </w:r>
    </w:p>
    <w:p w14:paraId="6603D38D" w14:textId="77777777" w:rsidR="00530B67" w:rsidRPr="00530B67" w:rsidRDefault="00530B67" w:rsidP="00F90096">
      <w:pPr>
        <w:pStyle w:val="FSCtblMRL1"/>
        <w:rPr>
          <w:shd w:val="clear" w:color="auto" w:fill="FFFFFF"/>
        </w:rPr>
      </w:pPr>
      <w:r w:rsidRPr="00530B67">
        <w:t>Berries</w:t>
      </w:r>
      <w:r w:rsidRPr="00530B67">
        <w:rPr>
          <w:shd w:val="clear" w:color="auto" w:fill="FFFFFF"/>
        </w:rPr>
        <w:t xml:space="preserve"> and other small </w:t>
      </w:r>
      <w:r w:rsidRPr="00530B67">
        <w:rPr>
          <w:lang w:val="en-AU"/>
        </w:rPr>
        <w:t>fruit</w:t>
      </w:r>
      <w:r w:rsidRPr="00530B67">
        <w:rPr>
          <w:shd w:val="clear" w:color="auto" w:fill="FFFFFF"/>
        </w:rPr>
        <w:t xml:space="preserve"> [except grapes]</w:t>
      </w:r>
    </w:p>
    <w:p w14:paraId="3BD7BA0A" w14:textId="77777777" w:rsidR="00530B67" w:rsidRPr="00530B67" w:rsidRDefault="00530B67" w:rsidP="00530B67">
      <w:pPr>
        <w:keepLines/>
        <w:widowControl/>
        <w:spacing w:before="20" w:after="20"/>
        <w:rPr>
          <w:rFonts w:cs="Arial"/>
          <w:sz w:val="18"/>
          <w:szCs w:val="20"/>
          <w:shd w:val="clear" w:color="auto" w:fill="FFFFFF"/>
          <w:lang w:eastAsia="en-AU" w:bidi="ar-SA"/>
        </w:rPr>
      </w:pPr>
    </w:p>
    <w:p w14:paraId="5E08E819" w14:textId="77777777" w:rsidR="00530B67" w:rsidRPr="00530B67" w:rsidRDefault="00530B67" w:rsidP="00263434">
      <w:pPr>
        <w:pStyle w:val="FSCDraftingitemheading"/>
      </w:pPr>
      <w:r w:rsidRPr="00530B67">
        <w:t>[45]</w:t>
      </w:r>
      <w:r w:rsidRPr="00530B67">
        <w:tab/>
        <w:t xml:space="preserve">Section S20—3 (table entry for </w:t>
      </w:r>
      <w:proofErr w:type="spellStart"/>
      <w:r w:rsidRPr="00530B67">
        <w:t>Agvet</w:t>
      </w:r>
      <w:proofErr w:type="spellEnd"/>
      <w:r w:rsidRPr="00530B67">
        <w:t xml:space="preserve"> chemical: </w:t>
      </w:r>
      <w:proofErr w:type="spellStart"/>
      <w:r w:rsidRPr="00530B67">
        <w:t>Imazamox</w:t>
      </w:r>
      <w:proofErr w:type="spellEnd"/>
      <w:r w:rsidRPr="00530B67">
        <w:t>)</w:t>
      </w:r>
    </w:p>
    <w:p w14:paraId="16BCF874" w14:textId="77777777" w:rsidR="00530B67" w:rsidRPr="00530B67" w:rsidRDefault="00530B67" w:rsidP="006A1136">
      <w:pPr>
        <w:pStyle w:val="FSCDraftingitem"/>
        <w:ind w:left="851" w:hanging="851"/>
      </w:pPr>
      <w:r w:rsidRPr="00530B67">
        <w:tab/>
      </w:r>
      <w:r w:rsidRPr="00530B67">
        <w:rPr>
          <w:shd w:val="clear" w:color="auto" w:fill="FFFFFF"/>
        </w:rPr>
        <w:t>Omit</w:t>
      </w:r>
      <w:r w:rsidRPr="00530B67">
        <w:t>:</w:t>
      </w:r>
    </w:p>
    <w:p w14:paraId="6A9426CC" w14:textId="77777777" w:rsidR="00530B67" w:rsidRPr="00530B67" w:rsidRDefault="00530B67" w:rsidP="00F90096">
      <w:pPr>
        <w:pStyle w:val="FSCtblMRL1"/>
      </w:pPr>
      <w:r w:rsidRPr="00530B67">
        <w:t xml:space="preserve">All other foods except animal food commodities’ </w:t>
      </w:r>
      <w:r w:rsidRPr="00530B67">
        <w:tab/>
      </w:r>
      <w:r w:rsidRPr="00530B67">
        <w:tab/>
      </w:r>
    </w:p>
    <w:p w14:paraId="50A143D7" w14:textId="77777777" w:rsidR="00530B67" w:rsidRPr="00530B67" w:rsidRDefault="00530B67" w:rsidP="00F90096">
      <w:pPr>
        <w:pStyle w:val="FSCDraftingitem"/>
        <w:ind w:left="851" w:hanging="851"/>
      </w:pPr>
      <w:r w:rsidRPr="00530B67">
        <w:tab/>
      </w:r>
      <w:r w:rsidRPr="00530B67">
        <w:rPr>
          <w:shd w:val="clear" w:color="auto" w:fill="FFFFFF"/>
        </w:rPr>
        <w:t>substitute</w:t>
      </w:r>
      <w:r w:rsidRPr="00530B67">
        <w:t>:</w:t>
      </w:r>
    </w:p>
    <w:p w14:paraId="55B45FE1" w14:textId="77777777" w:rsidR="00530B67" w:rsidRPr="00530B67" w:rsidRDefault="00530B67" w:rsidP="00F90096">
      <w:pPr>
        <w:pStyle w:val="FSCtblMRL1"/>
      </w:pPr>
      <w:r w:rsidRPr="00530B67">
        <w:t xml:space="preserve">All </w:t>
      </w:r>
      <w:r w:rsidRPr="00530B67">
        <w:rPr>
          <w:shd w:val="clear" w:color="auto" w:fill="FFFFFF"/>
        </w:rPr>
        <w:t>other</w:t>
      </w:r>
      <w:r w:rsidRPr="00530B67">
        <w:t xml:space="preserve"> foods except animal food commodities</w:t>
      </w:r>
    </w:p>
    <w:p w14:paraId="03CF0D3D" w14:textId="77777777" w:rsidR="00530B67" w:rsidRPr="00530B67" w:rsidRDefault="00530B67" w:rsidP="00530B67">
      <w:pPr>
        <w:keepLines/>
        <w:widowControl/>
        <w:spacing w:before="20" w:after="20"/>
        <w:rPr>
          <w:rFonts w:cs="Arial"/>
          <w:sz w:val="18"/>
          <w:szCs w:val="20"/>
          <w:lang w:eastAsia="en-AU" w:bidi="ar-SA"/>
        </w:rPr>
      </w:pPr>
    </w:p>
    <w:p w14:paraId="393B901D" w14:textId="77777777" w:rsidR="00530B67" w:rsidRPr="00530B67" w:rsidRDefault="00530B67" w:rsidP="004558C4">
      <w:pPr>
        <w:pStyle w:val="FSCDraftingitemheading"/>
      </w:pPr>
      <w:r w:rsidRPr="00530B67">
        <w:t>[46]</w:t>
      </w:r>
      <w:r w:rsidRPr="00530B67">
        <w:tab/>
        <w:t xml:space="preserve">Section S20—3 (table entry for </w:t>
      </w:r>
      <w:proofErr w:type="spellStart"/>
      <w:r w:rsidRPr="00530B67">
        <w:t>Agvet</w:t>
      </w:r>
      <w:proofErr w:type="spellEnd"/>
      <w:r w:rsidRPr="00530B67">
        <w:t xml:space="preserve"> chemical: </w:t>
      </w:r>
      <w:proofErr w:type="spellStart"/>
      <w:r w:rsidRPr="00530B67">
        <w:t>Kresoxim</w:t>
      </w:r>
      <w:proofErr w:type="spellEnd"/>
      <w:r w:rsidRPr="00530B67">
        <w:t>-methyl)</w:t>
      </w:r>
    </w:p>
    <w:p w14:paraId="3D146FCB" w14:textId="77777777" w:rsidR="00530B67" w:rsidRPr="00530B67" w:rsidRDefault="00530B67" w:rsidP="001C60ED">
      <w:pPr>
        <w:pStyle w:val="FSCDraftingitem"/>
        <w:ind w:left="851" w:hanging="851"/>
      </w:pPr>
      <w:r w:rsidRPr="00530B67">
        <w:tab/>
      </w:r>
      <w:r w:rsidRPr="00530B67">
        <w:rPr>
          <w:shd w:val="clear" w:color="auto" w:fill="FFFFFF"/>
        </w:rPr>
        <w:t>Omit</w:t>
      </w:r>
      <w:r w:rsidRPr="00530B67">
        <w:t>:</w:t>
      </w:r>
    </w:p>
    <w:p w14:paraId="54118E9E" w14:textId="77777777" w:rsidR="00530B67" w:rsidRPr="00530B67" w:rsidRDefault="00530B67" w:rsidP="00B9688E">
      <w:pPr>
        <w:pStyle w:val="FSCtblMRL1"/>
      </w:pPr>
      <w:r w:rsidRPr="00530B67">
        <w:t>Barley, similar grains, and pseudocereals with husks (=barley; buckwheat; oats)</w:t>
      </w:r>
    </w:p>
    <w:p w14:paraId="4099355D" w14:textId="77777777" w:rsidR="00530B67" w:rsidRPr="00530B67" w:rsidRDefault="00530B67" w:rsidP="001C60ED">
      <w:pPr>
        <w:pStyle w:val="FSCDraftingitem"/>
        <w:ind w:left="851" w:hanging="851"/>
      </w:pPr>
      <w:r w:rsidRPr="00530B67">
        <w:tab/>
      </w:r>
      <w:r w:rsidRPr="00530B67">
        <w:rPr>
          <w:shd w:val="clear" w:color="auto" w:fill="FFFFFF"/>
        </w:rPr>
        <w:t>substitute</w:t>
      </w:r>
      <w:r w:rsidRPr="00530B67">
        <w:t>:</w:t>
      </w:r>
    </w:p>
    <w:p w14:paraId="50A11530" w14:textId="77777777" w:rsidR="00530B67" w:rsidRPr="00530B67" w:rsidRDefault="00530B67" w:rsidP="00B9688E">
      <w:pPr>
        <w:pStyle w:val="FSCtblMRL1"/>
      </w:pPr>
      <w:r w:rsidRPr="00530B67">
        <w:t>Barley, similar grains, and pseudocereals with husks (barley; buckwheat; oats)</w:t>
      </w:r>
    </w:p>
    <w:p w14:paraId="4EB6BB90" w14:textId="77777777" w:rsidR="00530B67" w:rsidRPr="00530B67" w:rsidRDefault="00530B67" w:rsidP="00530B67">
      <w:pPr>
        <w:spacing w:before="120" w:after="120"/>
        <w:ind w:left="851" w:hanging="851"/>
        <w:rPr>
          <w:b/>
          <w:sz w:val="20"/>
          <w:szCs w:val="20"/>
          <w:shd w:val="clear" w:color="auto" w:fill="FFFFFF"/>
          <w:lang w:bidi="ar-SA"/>
        </w:rPr>
      </w:pPr>
    </w:p>
    <w:p w14:paraId="53465715" w14:textId="77777777" w:rsidR="00530B67" w:rsidRPr="00530B67" w:rsidRDefault="00530B67" w:rsidP="004558C4">
      <w:pPr>
        <w:pStyle w:val="FSCDraftingitemheading"/>
      </w:pPr>
      <w:r w:rsidRPr="00530B67">
        <w:rPr>
          <w:shd w:val="clear" w:color="auto" w:fill="FFFFFF"/>
        </w:rPr>
        <w:t>[47]</w:t>
      </w:r>
      <w:r w:rsidRPr="00530B67">
        <w:rPr>
          <w:shd w:val="clear" w:color="auto" w:fill="FFFFFF"/>
        </w:rPr>
        <w:tab/>
      </w:r>
      <w:r w:rsidRPr="00530B67">
        <w:t xml:space="preserve">Section S20—3 (table entries for </w:t>
      </w:r>
      <w:proofErr w:type="spellStart"/>
      <w:r w:rsidRPr="00530B67">
        <w:t>Agvet</w:t>
      </w:r>
      <w:proofErr w:type="spellEnd"/>
      <w:r w:rsidRPr="00530B67">
        <w:t xml:space="preserve"> chemicals: </w:t>
      </w:r>
      <w:proofErr w:type="spellStart"/>
      <w:r w:rsidRPr="00530B67">
        <w:t>Maldison</w:t>
      </w:r>
      <w:proofErr w:type="spellEnd"/>
      <w:r w:rsidRPr="00530B67">
        <w:t xml:space="preserve"> and Trichlorfon)</w:t>
      </w:r>
    </w:p>
    <w:p w14:paraId="4C879D51" w14:textId="77777777" w:rsidR="00530B67" w:rsidRPr="00530B67" w:rsidRDefault="00530B67" w:rsidP="001C60ED">
      <w:pPr>
        <w:pStyle w:val="FSCDraftingitem"/>
        <w:ind w:left="851" w:hanging="851"/>
      </w:pPr>
      <w:r w:rsidRPr="00530B67">
        <w:tab/>
      </w:r>
      <w:r w:rsidRPr="00530B67">
        <w:rPr>
          <w:shd w:val="clear" w:color="auto" w:fill="FFFFFF"/>
        </w:rPr>
        <w:t>Omit</w:t>
      </w:r>
      <w:r w:rsidRPr="00530B67">
        <w:t>:</w:t>
      </w:r>
    </w:p>
    <w:p w14:paraId="09AAFA5B" w14:textId="77777777" w:rsidR="00530B67" w:rsidRPr="00530B67" w:rsidRDefault="00530B67" w:rsidP="00B9688E">
      <w:pPr>
        <w:pStyle w:val="FSCtblMRL1"/>
      </w:pPr>
      <w:r w:rsidRPr="00530B67">
        <w:t>(except jujube, Chinese)</w:t>
      </w:r>
    </w:p>
    <w:p w14:paraId="7F5324EF" w14:textId="77777777" w:rsidR="00530B67" w:rsidRPr="00530B67" w:rsidRDefault="00530B67" w:rsidP="001C60ED">
      <w:pPr>
        <w:pStyle w:val="FSCDraftingitem"/>
        <w:ind w:left="851" w:hanging="851"/>
      </w:pPr>
      <w:r w:rsidRPr="00530B67">
        <w:tab/>
      </w:r>
      <w:r w:rsidRPr="00530B67">
        <w:rPr>
          <w:shd w:val="clear" w:color="auto" w:fill="FFFFFF"/>
        </w:rPr>
        <w:t>substitute</w:t>
      </w:r>
      <w:r w:rsidRPr="00530B67">
        <w:t>:</w:t>
      </w:r>
    </w:p>
    <w:p w14:paraId="33BCE7A6" w14:textId="77777777" w:rsidR="00530B67" w:rsidRPr="00530B67" w:rsidRDefault="00530B67" w:rsidP="00B9688E">
      <w:pPr>
        <w:pStyle w:val="FSCtblMRL1"/>
      </w:pPr>
      <w:r w:rsidRPr="00530B67">
        <w:t>[</w:t>
      </w:r>
      <w:r w:rsidRPr="00530B67">
        <w:rPr>
          <w:sz w:val="20"/>
        </w:rPr>
        <w:t>except</w:t>
      </w:r>
      <w:r w:rsidRPr="00530B67">
        <w:t xml:space="preserve"> jujube, Chinese]</w:t>
      </w:r>
    </w:p>
    <w:p w14:paraId="710FAAD6" w14:textId="77777777" w:rsidR="00530B67" w:rsidRPr="00530B67" w:rsidRDefault="00530B67" w:rsidP="00530B67">
      <w:pPr>
        <w:keepLines/>
        <w:widowControl/>
        <w:spacing w:before="20" w:after="20"/>
        <w:rPr>
          <w:rFonts w:cs="Arial"/>
          <w:b/>
          <w:sz w:val="20"/>
          <w:szCs w:val="20"/>
          <w:lang w:eastAsia="en-AU" w:bidi="ar-SA"/>
        </w:rPr>
      </w:pPr>
    </w:p>
    <w:p w14:paraId="0119C44A" w14:textId="77777777" w:rsidR="00530B67" w:rsidRPr="00530B67" w:rsidRDefault="00530B67" w:rsidP="004558C4">
      <w:pPr>
        <w:pStyle w:val="FSCDraftingitemheading"/>
      </w:pPr>
      <w:r w:rsidRPr="00530B67">
        <w:t>[48]</w:t>
      </w:r>
      <w:r w:rsidRPr="00530B67">
        <w:tab/>
        <w:t xml:space="preserve">Section S20—3 (table entry for </w:t>
      </w:r>
      <w:proofErr w:type="spellStart"/>
      <w:r w:rsidRPr="00530B67">
        <w:t>Agvet</w:t>
      </w:r>
      <w:proofErr w:type="spellEnd"/>
      <w:r w:rsidRPr="00530B67">
        <w:t xml:space="preserve"> chemical: </w:t>
      </w:r>
      <w:proofErr w:type="spellStart"/>
      <w:r w:rsidRPr="00530B67">
        <w:t>Niclosamide</w:t>
      </w:r>
      <w:proofErr w:type="spellEnd"/>
      <w:r w:rsidRPr="00530B67">
        <w:t>)</w:t>
      </w:r>
    </w:p>
    <w:p w14:paraId="548BF7C4" w14:textId="77777777" w:rsidR="00530B67" w:rsidRPr="00530B67" w:rsidRDefault="00530B67" w:rsidP="001C60ED">
      <w:pPr>
        <w:pStyle w:val="FSCDraftingitem"/>
        <w:ind w:left="851" w:hanging="851"/>
      </w:pPr>
      <w:r w:rsidRPr="00530B67">
        <w:tab/>
      </w:r>
      <w:r w:rsidRPr="00530B67">
        <w:rPr>
          <w:shd w:val="clear" w:color="auto" w:fill="FFFFFF"/>
        </w:rPr>
        <w:t>Omit</w:t>
      </w:r>
      <w:r w:rsidRPr="00530B67">
        <w:t>:</w:t>
      </w:r>
    </w:p>
    <w:p w14:paraId="18ACEC7A" w14:textId="77777777" w:rsidR="00530B67" w:rsidRPr="00530B67" w:rsidRDefault="00530B67" w:rsidP="00B9688E">
      <w:pPr>
        <w:pStyle w:val="FSCtblMRL1"/>
      </w:pPr>
      <w:r w:rsidRPr="00530B67">
        <w:t>eat</w:t>
      </w:r>
      <w:r w:rsidRPr="00530B67">
        <w:rPr>
          <w:bCs/>
        </w:rPr>
        <w:t xml:space="preserve"> </w:t>
      </w:r>
      <w:r w:rsidRPr="00530B67">
        <w:t>(mammalian)</w:t>
      </w:r>
    </w:p>
    <w:p w14:paraId="3CF8D432" w14:textId="77777777" w:rsidR="00530B67" w:rsidRPr="00530B67" w:rsidRDefault="00530B67" w:rsidP="001C60ED">
      <w:pPr>
        <w:pStyle w:val="FSCDraftingitem"/>
        <w:ind w:left="851" w:hanging="851"/>
      </w:pPr>
      <w:r w:rsidRPr="00530B67">
        <w:tab/>
      </w:r>
      <w:r w:rsidRPr="00530B67">
        <w:rPr>
          <w:shd w:val="clear" w:color="auto" w:fill="FFFFFF"/>
        </w:rPr>
        <w:t>substitute</w:t>
      </w:r>
      <w:r w:rsidRPr="00530B67">
        <w:t>:</w:t>
      </w:r>
    </w:p>
    <w:p w14:paraId="30F14DC5" w14:textId="77777777" w:rsidR="00530B67" w:rsidRPr="00530B67" w:rsidRDefault="00530B67" w:rsidP="00B9688E">
      <w:pPr>
        <w:pStyle w:val="FSCtblMRL1"/>
      </w:pPr>
      <w:r w:rsidRPr="00530B67">
        <w:t>Meat (mammalian)</w:t>
      </w:r>
    </w:p>
    <w:p w14:paraId="34413C9C" w14:textId="77777777" w:rsidR="00530B67" w:rsidRPr="00530B67" w:rsidRDefault="00530B67" w:rsidP="00530B67">
      <w:pPr>
        <w:keepLines/>
        <w:widowControl/>
        <w:spacing w:before="20" w:after="20"/>
        <w:rPr>
          <w:rFonts w:cs="Arial"/>
          <w:sz w:val="18"/>
          <w:szCs w:val="20"/>
          <w:shd w:val="clear" w:color="auto" w:fill="FFFFFF"/>
          <w:lang w:eastAsia="en-AU" w:bidi="ar-SA"/>
        </w:rPr>
      </w:pPr>
    </w:p>
    <w:p w14:paraId="45BEEF6F" w14:textId="77777777" w:rsidR="00530B67" w:rsidRPr="00530B67" w:rsidRDefault="00530B67" w:rsidP="004558C4">
      <w:pPr>
        <w:pStyle w:val="FSCDraftingitemheading"/>
      </w:pPr>
      <w:r w:rsidRPr="00530B67">
        <w:t>[49]</w:t>
      </w:r>
      <w:r w:rsidRPr="00530B67">
        <w:tab/>
        <w:t xml:space="preserve">Section S20—3 (table entry for </w:t>
      </w:r>
      <w:proofErr w:type="spellStart"/>
      <w:r w:rsidRPr="00530B67">
        <w:t>Agvet</w:t>
      </w:r>
      <w:proofErr w:type="spellEnd"/>
      <w:r w:rsidRPr="00530B67">
        <w:t xml:space="preserve"> chemical: Phosphorous acid)</w:t>
      </w:r>
    </w:p>
    <w:p w14:paraId="48F44918" w14:textId="77777777" w:rsidR="00530B67" w:rsidRPr="00530B67" w:rsidRDefault="00530B67" w:rsidP="001C60ED">
      <w:pPr>
        <w:pStyle w:val="FSCDraftingitem"/>
        <w:ind w:left="851" w:hanging="851"/>
      </w:pPr>
      <w:r w:rsidRPr="00530B67">
        <w:tab/>
      </w:r>
      <w:r w:rsidRPr="00530B67">
        <w:rPr>
          <w:shd w:val="clear" w:color="auto" w:fill="FFFFFF"/>
        </w:rPr>
        <w:t>Omit</w:t>
      </w:r>
      <w:r w:rsidRPr="00530B67">
        <w:t>:</w:t>
      </w:r>
    </w:p>
    <w:p w14:paraId="5EA4FA67" w14:textId="77777777" w:rsidR="00530B67" w:rsidRPr="00530B67" w:rsidRDefault="00530B67" w:rsidP="00B9688E">
      <w:pPr>
        <w:pStyle w:val="FSCtblMRL1"/>
      </w:pPr>
      <w:r w:rsidRPr="00530B67">
        <w:t>Root and tuber vegetables (except potato)</w:t>
      </w:r>
    </w:p>
    <w:p w14:paraId="7A2735B4" w14:textId="77777777" w:rsidR="00530B67" w:rsidRPr="00530B67" w:rsidRDefault="00530B67" w:rsidP="001C60ED">
      <w:pPr>
        <w:pStyle w:val="FSCDraftingitem"/>
        <w:ind w:left="851" w:hanging="851"/>
      </w:pPr>
      <w:r w:rsidRPr="00530B67">
        <w:tab/>
      </w:r>
      <w:r w:rsidRPr="00530B67">
        <w:rPr>
          <w:shd w:val="clear" w:color="auto" w:fill="FFFFFF"/>
        </w:rPr>
        <w:t>substitute</w:t>
      </w:r>
      <w:r w:rsidRPr="00530B67">
        <w:t>:</w:t>
      </w:r>
    </w:p>
    <w:p w14:paraId="4D4436FF" w14:textId="77777777" w:rsidR="00530B67" w:rsidRPr="00530B67" w:rsidRDefault="00530B67" w:rsidP="00B9688E">
      <w:pPr>
        <w:pStyle w:val="FSCtblMRL1"/>
      </w:pPr>
      <w:r w:rsidRPr="00530B67">
        <w:t>Root and tuber vegetables [except potato]</w:t>
      </w:r>
    </w:p>
    <w:p w14:paraId="4CFEB12C" w14:textId="77777777" w:rsidR="00530B67" w:rsidRPr="00530B67" w:rsidRDefault="00530B67" w:rsidP="00530B67">
      <w:pPr>
        <w:keepLines/>
        <w:widowControl/>
        <w:spacing w:before="20" w:after="20"/>
        <w:rPr>
          <w:rFonts w:cs="Arial"/>
          <w:b/>
          <w:sz w:val="20"/>
          <w:szCs w:val="20"/>
          <w:lang w:eastAsia="en-AU" w:bidi="ar-SA"/>
        </w:rPr>
      </w:pPr>
    </w:p>
    <w:p w14:paraId="61DFCB56" w14:textId="77777777" w:rsidR="00530B67" w:rsidRPr="00530B67" w:rsidRDefault="00530B67" w:rsidP="004558C4">
      <w:pPr>
        <w:pStyle w:val="FSCDraftingitemheading"/>
      </w:pPr>
      <w:r w:rsidRPr="00530B67">
        <w:t>[50]</w:t>
      </w:r>
      <w:r w:rsidRPr="00530B67">
        <w:tab/>
        <w:t xml:space="preserve">Section S20—3 (table entry for </w:t>
      </w:r>
      <w:proofErr w:type="spellStart"/>
      <w:r w:rsidRPr="00530B67">
        <w:t>Agvet</w:t>
      </w:r>
      <w:proofErr w:type="spellEnd"/>
      <w:r w:rsidRPr="00530B67">
        <w:t xml:space="preserve"> chemical: Propyzamide)</w:t>
      </w:r>
    </w:p>
    <w:p w14:paraId="618880BA" w14:textId="77777777" w:rsidR="00530B67" w:rsidRPr="00530B67" w:rsidRDefault="00530B67" w:rsidP="001C60ED">
      <w:pPr>
        <w:pStyle w:val="FSCDraftingitem"/>
        <w:ind w:left="851" w:hanging="851"/>
      </w:pPr>
      <w:r w:rsidRPr="00530B67">
        <w:tab/>
      </w:r>
      <w:r w:rsidRPr="00530B67">
        <w:rPr>
          <w:shd w:val="clear" w:color="auto" w:fill="FFFFFF"/>
        </w:rPr>
        <w:t>Insert</w:t>
      </w:r>
      <w:r w:rsidRPr="00530B67">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30B67" w:rsidRPr="00530B67" w14:paraId="6C927C94" w14:textId="77777777" w:rsidTr="00530B67">
        <w:tc>
          <w:tcPr>
            <w:tcW w:w="3402" w:type="dxa"/>
            <w:shd w:val="clear" w:color="auto" w:fill="FFFFFF"/>
            <w:tcMar>
              <w:top w:w="0" w:type="dxa"/>
              <w:left w:w="108" w:type="dxa"/>
              <w:bottom w:w="0" w:type="dxa"/>
              <w:right w:w="108" w:type="dxa"/>
            </w:tcMar>
            <w:hideMark/>
          </w:tcPr>
          <w:p w14:paraId="4CBF3B48" w14:textId="77777777" w:rsidR="00530B67" w:rsidRPr="00530B67" w:rsidRDefault="00530B67" w:rsidP="00B9688E">
            <w:pPr>
              <w:pStyle w:val="FSCtblMRL1"/>
              <w:rPr>
                <w:lang w:val="en-AU" w:eastAsia="en-GB"/>
              </w:rPr>
            </w:pPr>
            <w:r w:rsidRPr="00530B67">
              <w:t>Pulses</w:t>
            </w:r>
          </w:p>
        </w:tc>
        <w:tc>
          <w:tcPr>
            <w:tcW w:w="1020" w:type="dxa"/>
            <w:shd w:val="clear" w:color="auto" w:fill="FFFFFF"/>
            <w:tcMar>
              <w:top w:w="0" w:type="dxa"/>
              <w:left w:w="108" w:type="dxa"/>
              <w:bottom w:w="0" w:type="dxa"/>
              <w:right w:w="108" w:type="dxa"/>
            </w:tcMar>
            <w:hideMark/>
          </w:tcPr>
          <w:p w14:paraId="5F521F95" w14:textId="77777777" w:rsidR="00530B67" w:rsidRPr="00530B67" w:rsidRDefault="00530B67" w:rsidP="00A75CD4">
            <w:pPr>
              <w:pStyle w:val="FSCtblMRL2"/>
              <w:rPr>
                <w:lang w:val="en-AU" w:eastAsia="en-AU"/>
              </w:rPr>
            </w:pPr>
            <w:r w:rsidRPr="00530B67">
              <w:rPr>
                <w:lang w:val="en-AU" w:eastAsia="en-AU"/>
              </w:rPr>
              <w:t>*0.01</w:t>
            </w:r>
          </w:p>
        </w:tc>
      </w:tr>
    </w:tbl>
    <w:p w14:paraId="4AC237B8" w14:textId="77777777" w:rsidR="00530B67" w:rsidRPr="00530B67" w:rsidRDefault="00530B67" w:rsidP="00530B67">
      <w:pPr>
        <w:spacing w:before="120" w:after="120"/>
        <w:ind w:left="851" w:hanging="851"/>
        <w:rPr>
          <w:b/>
          <w:sz w:val="20"/>
          <w:szCs w:val="20"/>
          <w:lang w:bidi="ar-SA"/>
        </w:rPr>
      </w:pPr>
    </w:p>
    <w:p w14:paraId="17E074B9" w14:textId="77777777" w:rsidR="00530B67" w:rsidRPr="00530B67" w:rsidRDefault="00530B67" w:rsidP="004558C4">
      <w:pPr>
        <w:pStyle w:val="FSCDraftingitemheading"/>
      </w:pPr>
      <w:r w:rsidRPr="00530B67">
        <w:t>[51]</w:t>
      </w:r>
      <w:r w:rsidRPr="00530B67">
        <w:tab/>
        <w:t xml:space="preserve">Section S20—3 (table entry for </w:t>
      </w:r>
      <w:proofErr w:type="spellStart"/>
      <w:r w:rsidRPr="00530B67">
        <w:t>Agvet</w:t>
      </w:r>
      <w:proofErr w:type="spellEnd"/>
      <w:r w:rsidRPr="00530B67">
        <w:t xml:space="preserve"> chemical: </w:t>
      </w:r>
      <w:proofErr w:type="spellStart"/>
      <w:r w:rsidRPr="00530B67">
        <w:t>Prosulfocarb</w:t>
      </w:r>
      <w:proofErr w:type="spellEnd"/>
      <w:r w:rsidRPr="00530B67">
        <w:t>)</w:t>
      </w:r>
    </w:p>
    <w:p w14:paraId="18EA9FBF" w14:textId="77777777" w:rsidR="00530B67" w:rsidRPr="00530B67" w:rsidRDefault="00530B67" w:rsidP="001C60ED">
      <w:pPr>
        <w:pStyle w:val="FSCDraftingitem"/>
        <w:ind w:left="851" w:hanging="851"/>
      </w:pPr>
      <w:r w:rsidRPr="00530B67">
        <w:tab/>
      </w:r>
      <w:r w:rsidRPr="00530B67">
        <w:rPr>
          <w:shd w:val="clear" w:color="auto" w:fill="FFFFFF"/>
        </w:rPr>
        <w:t>Insert</w:t>
      </w:r>
      <w:r w:rsidRPr="00530B67">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30B67" w:rsidRPr="00530B67" w14:paraId="1EF2BFED" w14:textId="77777777" w:rsidTr="00530B67">
        <w:tc>
          <w:tcPr>
            <w:tcW w:w="3404" w:type="dxa"/>
            <w:shd w:val="clear" w:color="auto" w:fill="FFFFFF"/>
            <w:tcMar>
              <w:top w:w="0" w:type="dxa"/>
              <w:left w:w="108" w:type="dxa"/>
              <w:bottom w:w="0" w:type="dxa"/>
              <w:right w:w="108" w:type="dxa"/>
            </w:tcMar>
            <w:hideMark/>
          </w:tcPr>
          <w:p w14:paraId="7BFF2140" w14:textId="77777777" w:rsidR="00530B67" w:rsidRPr="00530B67" w:rsidRDefault="00530B67" w:rsidP="00B9688E">
            <w:pPr>
              <w:pStyle w:val="FSCtblMRL1"/>
              <w:rPr>
                <w:bCs/>
                <w:lang w:val="en-AU" w:eastAsia="en-GB"/>
              </w:rPr>
            </w:pPr>
            <w:r w:rsidRPr="00530B67">
              <w:t>Pulses</w:t>
            </w:r>
          </w:p>
        </w:tc>
        <w:tc>
          <w:tcPr>
            <w:tcW w:w="1021" w:type="dxa"/>
            <w:shd w:val="clear" w:color="auto" w:fill="FFFFFF"/>
            <w:tcMar>
              <w:top w:w="0" w:type="dxa"/>
              <w:left w:w="108" w:type="dxa"/>
              <w:bottom w:w="0" w:type="dxa"/>
              <w:right w:w="108" w:type="dxa"/>
            </w:tcMar>
            <w:hideMark/>
          </w:tcPr>
          <w:p w14:paraId="05AB7D4E" w14:textId="77777777" w:rsidR="00530B67" w:rsidRPr="00530B67" w:rsidRDefault="00530B67" w:rsidP="00A75CD4">
            <w:pPr>
              <w:pStyle w:val="FSCtblMRL2"/>
              <w:rPr>
                <w:lang w:val="en-AU" w:eastAsia="en-AU"/>
              </w:rPr>
            </w:pPr>
            <w:r w:rsidRPr="00530B67">
              <w:rPr>
                <w:lang w:val="en-AU" w:eastAsia="en-AU"/>
              </w:rPr>
              <w:t>*0.01</w:t>
            </w:r>
          </w:p>
        </w:tc>
      </w:tr>
    </w:tbl>
    <w:p w14:paraId="61B9AF7A" w14:textId="77777777" w:rsidR="00530B67" w:rsidRPr="00530B67" w:rsidRDefault="00530B67" w:rsidP="00530B67">
      <w:pPr>
        <w:keepLines/>
        <w:widowControl/>
        <w:spacing w:before="20" w:after="20"/>
        <w:rPr>
          <w:rFonts w:cs="Arial"/>
          <w:sz w:val="18"/>
          <w:szCs w:val="20"/>
          <w:lang w:eastAsia="en-AU" w:bidi="ar-SA"/>
        </w:rPr>
      </w:pPr>
    </w:p>
    <w:p w14:paraId="2B8DC6FE" w14:textId="77777777" w:rsidR="00530B67" w:rsidRPr="00530B67" w:rsidRDefault="00530B67" w:rsidP="00530B67">
      <w:pPr>
        <w:spacing w:before="120" w:after="120"/>
        <w:ind w:left="851" w:hanging="851"/>
        <w:rPr>
          <w:b/>
          <w:sz w:val="20"/>
          <w:szCs w:val="20"/>
          <w:lang w:bidi="ar-SA"/>
        </w:rPr>
      </w:pPr>
    </w:p>
    <w:p w14:paraId="7917D8C9" w14:textId="77777777" w:rsidR="00530B67" w:rsidRPr="00530B67" w:rsidRDefault="00530B67" w:rsidP="00530B67">
      <w:pPr>
        <w:spacing w:before="120" w:after="120"/>
        <w:ind w:left="851" w:hanging="851"/>
        <w:rPr>
          <w:b/>
          <w:sz w:val="20"/>
          <w:szCs w:val="20"/>
          <w:lang w:bidi="ar-SA"/>
        </w:rPr>
      </w:pPr>
    </w:p>
    <w:p w14:paraId="22E4810C" w14:textId="77777777" w:rsidR="00530B67" w:rsidRPr="00530B67" w:rsidRDefault="00530B67" w:rsidP="004558C4">
      <w:pPr>
        <w:pStyle w:val="FSCDraftingitemheading"/>
      </w:pPr>
      <w:r w:rsidRPr="00530B67">
        <w:t>[52]</w:t>
      </w:r>
      <w:r w:rsidRPr="00530B67">
        <w:tab/>
        <w:t xml:space="preserve">Section S20—3 (table entry for </w:t>
      </w:r>
      <w:proofErr w:type="spellStart"/>
      <w:r w:rsidRPr="00530B67">
        <w:t>Agvet</w:t>
      </w:r>
      <w:proofErr w:type="spellEnd"/>
      <w:r w:rsidRPr="00530B67">
        <w:t xml:space="preserve"> chemical: </w:t>
      </w:r>
      <w:proofErr w:type="spellStart"/>
      <w:r w:rsidRPr="00530B67">
        <w:t>Prothioconazole</w:t>
      </w:r>
      <w:proofErr w:type="spellEnd"/>
      <w:r w:rsidRPr="00530B67">
        <w:t>)</w:t>
      </w:r>
    </w:p>
    <w:p w14:paraId="33375DBC" w14:textId="77777777" w:rsidR="00530B67" w:rsidRPr="00530B67" w:rsidRDefault="00530B67" w:rsidP="001C60ED">
      <w:pPr>
        <w:pStyle w:val="FSCDraftingitem"/>
        <w:ind w:left="851" w:hanging="851"/>
      </w:pPr>
      <w:r w:rsidRPr="00530B67">
        <w:tab/>
      </w:r>
      <w:r w:rsidRPr="00530B67">
        <w:rPr>
          <w:shd w:val="clear" w:color="auto" w:fill="FFFFFF"/>
        </w:rPr>
        <w:t>Insert</w:t>
      </w:r>
      <w:r w:rsidRPr="00530B67">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30B67" w:rsidRPr="00530B67" w14:paraId="4ABEFE4A" w14:textId="77777777" w:rsidTr="00530B67">
        <w:tc>
          <w:tcPr>
            <w:tcW w:w="3402" w:type="dxa"/>
            <w:shd w:val="clear" w:color="auto" w:fill="FFFFFF"/>
            <w:tcMar>
              <w:top w:w="0" w:type="dxa"/>
              <w:left w:w="108" w:type="dxa"/>
              <w:bottom w:w="0" w:type="dxa"/>
              <w:right w:w="108" w:type="dxa"/>
            </w:tcMar>
            <w:hideMark/>
          </w:tcPr>
          <w:p w14:paraId="6E13CDDC" w14:textId="77777777" w:rsidR="00530B67" w:rsidRPr="00530B67" w:rsidRDefault="00530B67" w:rsidP="00B9688E">
            <w:pPr>
              <w:pStyle w:val="FSCtblMRL1"/>
              <w:rPr>
                <w:lang w:val="en-AU" w:eastAsia="en-GB"/>
              </w:rPr>
            </w:pPr>
            <w:r w:rsidRPr="00530B67">
              <w:t>Pulses</w:t>
            </w:r>
          </w:p>
        </w:tc>
        <w:tc>
          <w:tcPr>
            <w:tcW w:w="1020" w:type="dxa"/>
            <w:shd w:val="clear" w:color="auto" w:fill="FFFFFF"/>
            <w:tcMar>
              <w:top w:w="0" w:type="dxa"/>
              <w:left w:w="108" w:type="dxa"/>
              <w:bottom w:w="0" w:type="dxa"/>
              <w:right w:w="108" w:type="dxa"/>
            </w:tcMar>
            <w:hideMark/>
          </w:tcPr>
          <w:p w14:paraId="08CD6597" w14:textId="77777777" w:rsidR="00530B67" w:rsidRPr="00530B67" w:rsidRDefault="00530B67" w:rsidP="00A75CD4">
            <w:pPr>
              <w:pStyle w:val="FSCtblMRL2"/>
              <w:rPr>
                <w:lang w:val="en-AU" w:eastAsia="en-AU"/>
              </w:rPr>
            </w:pPr>
            <w:r w:rsidRPr="00530B67">
              <w:rPr>
                <w:lang w:val="en-AU" w:eastAsia="en-AU"/>
              </w:rPr>
              <w:t>T0.7</w:t>
            </w:r>
          </w:p>
        </w:tc>
      </w:tr>
    </w:tbl>
    <w:p w14:paraId="1C2E2BB6" w14:textId="77777777" w:rsidR="00530B67" w:rsidRPr="00530B67" w:rsidRDefault="00530B67" w:rsidP="00530B67">
      <w:pPr>
        <w:keepLines/>
        <w:widowControl/>
        <w:spacing w:before="20" w:after="20"/>
        <w:ind w:left="-105"/>
        <w:rPr>
          <w:rFonts w:cs="Arial"/>
          <w:b/>
          <w:color w:val="FF0000"/>
          <w:sz w:val="18"/>
          <w:szCs w:val="20"/>
          <w:lang w:eastAsia="en-AU" w:bidi="ar-SA"/>
        </w:rPr>
      </w:pPr>
    </w:p>
    <w:p w14:paraId="324F9BE4" w14:textId="77777777" w:rsidR="00530B67" w:rsidRPr="00530B67" w:rsidRDefault="00530B67" w:rsidP="004558C4">
      <w:pPr>
        <w:pStyle w:val="FSCDraftingitemheading"/>
      </w:pPr>
      <w:r w:rsidRPr="00530B67">
        <w:t>[53]</w:t>
      </w:r>
      <w:r w:rsidRPr="00530B67">
        <w:tab/>
        <w:t xml:space="preserve">Section S20—3 (table entry for </w:t>
      </w:r>
      <w:proofErr w:type="spellStart"/>
      <w:r w:rsidRPr="00530B67">
        <w:t>Agvet</w:t>
      </w:r>
      <w:proofErr w:type="spellEnd"/>
      <w:r w:rsidRPr="00530B67">
        <w:t xml:space="preserve"> chemical: </w:t>
      </w:r>
      <w:proofErr w:type="spellStart"/>
      <w:r w:rsidRPr="00530B67">
        <w:t>Pydiflumetofen</w:t>
      </w:r>
      <w:proofErr w:type="spellEnd"/>
      <w:r w:rsidRPr="00530B67">
        <w:t>)</w:t>
      </w:r>
    </w:p>
    <w:p w14:paraId="331C4B34" w14:textId="77777777" w:rsidR="00530B67" w:rsidRPr="00530B67" w:rsidRDefault="00530B67" w:rsidP="001C60ED">
      <w:pPr>
        <w:pStyle w:val="FSCDraftingitem"/>
        <w:ind w:left="851" w:hanging="851"/>
      </w:pPr>
      <w:r w:rsidRPr="00530B67">
        <w:t>[53.1]</w:t>
      </w:r>
      <w:r w:rsidRPr="00530B67">
        <w:tab/>
      </w:r>
      <w:r w:rsidRPr="00530B67">
        <w:rPr>
          <w:shd w:val="clear" w:color="auto" w:fill="FFFFFF"/>
        </w:rPr>
        <w:t>Omit</w:t>
      </w:r>
      <w:r w:rsidRPr="00530B67">
        <w:t>:</w:t>
      </w:r>
    </w:p>
    <w:p w14:paraId="5F7DC768" w14:textId="77777777" w:rsidR="00530B67" w:rsidRPr="00530B67" w:rsidRDefault="00530B67" w:rsidP="00B9688E">
      <w:pPr>
        <w:pStyle w:val="FSCtblMRL1"/>
      </w:pPr>
      <w:r w:rsidRPr="00530B67">
        <w:t>Leafy vegetables (except brassica leafy vegetables) [except witloof chicory]</w:t>
      </w:r>
    </w:p>
    <w:p w14:paraId="7757BF7D" w14:textId="77777777" w:rsidR="00530B67" w:rsidRPr="00530B67" w:rsidRDefault="00530B67" w:rsidP="001C60ED">
      <w:pPr>
        <w:pStyle w:val="FSCDraftingitem"/>
        <w:ind w:left="851" w:hanging="851"/>
      </w:pPr>
      <w:r w:rsidRPr="00530B67">
        <w:tab/>
      </w:r>
      <w:r w:rsidRPr="00530B67">
        <w:rPr>
          <w:shd w:val="clear" w:color="auto" w:fill="FFFFFF"/>
        </w:rPr>
        <w:t>substitute</w:t>
      </w:r>
      <w:r w:rsidRPr="00530B67">
        <w:t>:</w:t>
      </w:r>
    </w:p>
    <w:p w14:paraId="7C5A0F06" w14:textId="77777777" w:rsidR="00530B67" w:rsidRPr="00530B67" w:rsidRDefault="00530B67" w:rsidP="00B9688E">
      <w:pPr>
        <w:pStyle w:val="FSCtblMRL1"/>
      </w:pPr>
      <w:r w:rsidRPr="00530B67">
        <w:t>Leafy vegetables [except brassica leafy vegetables; witloof chicory]</w:t>
      </w:r>
    </w:p>
    <w:p w14:paraId="25FF59AF" w14:textId="77777777" w:rsidR="00530B67" w:rsidRPr="00530B67" w:rsidRDefault="00530B67" w:rsidP="00530B67">
      <w:pPr>
        <w:spacing w:before="120" w:after="120"/>
        <w:ind w:left="851" w:hanging="851"/>
        <w:rPr>
          <w:b/>
          <w:sz w:val="20"/>
          <w:szCs w:val="20"/>
          <w:lang w:bidi="ar-SA"/>
        </w:rPr>
      </w:pPr>
    </w:p>
    <w:p w14:paraId="502055D5" w14:textId="77777777" w:rsidR="00530B67" w:rsidRPr="00530B67" w:rsidRDefault="00530B67" w:rsidP="000132C5">
      <w:pPr>
        <w:pStyle w:val="FSCDraftingitem"/>
        <w:ind w:left="851" w:hanging="851"/>
      </w:pPr>
      <w:r w:rsidRPr="00530B67">
        <w:t>[53.2]</w:t>
      </w:r>
      <w:r w:rsidRPr="00530B67">
        <w:tab/>
      </w:r>
      <w:r w:rsidRPr="00530B67">
        <w:rPr>
          <w:shd w:val="clear" w:color="auto" w:fill="FFFFFF"/>
        </w:rPr>
        <w:t>Omit</w:t>
      </w:r>
      <w:r w:rsidRPr="00530B67">
        <w:t xml:space="preserve"> </w:t>
      </w:r>
      <w:r w:rsidRPr="00530B67">
        <w:rPr>
          <w:shd w:val="clear" w:color="auto" w:fill="FFFFFF"/>
        </w:rPr>
        <w:t>the</w:t>
      </w:r>
      <w:r w:rsidRPr="00530B67">
        <w:t xml:space="preserve"> following food commodities and their associated MRLs: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tblGrid>
      <w:tr w:rsidR="00530B67" w:rsidRPr="00530B67" w14:paraId="0DD26363" w14:textId="77777777" w:rsidTr="000132C5">
        <w:tc>
          <w:tcPr>
            <w:tcW w:w="3402" w:type="dxa"/>
            <w:hideMark/>
          </w:tcPr>
          <w:p w14:paraId="03899C42" w14:textId="77777777" w:rsidR="00530B67" w:rsidRPr="00530B67" w:rsidRDefault="00530B67" w:rsidP="000132C5">
            <w:pPr>
              <w:pStyle w:val="FSCtblMRL1"/>
            </w:pPr>
            <w:r w:rsidRPr="00530B67">
              <w:t>Aquatic root and tuber vegetable</w:t>
            </w:r>
          </w:p>
        </w:tc>
        <w:tc>
          <w:tcPr>
            <w:tcW w:w="1134" w:type="dxa"/>
            <w:hideMark/>
          </w:tcPr>
          <w:p w14:paraId="513C3537" w14:textId="77777777" w:rsidR="00530B67" w:rsidRPr="00530B67" w:rsidRDefault="00530B67" w:rsidP="000132C5">
            <w:pPr>
              <w:pStyle w:val="FSCtblMRL2"/>
              <w:rPr>
                <w:lang w:val="en-AU" w:eastAsia="en-AU"/>
              </w:rPr>
            </w:pPr>
            <w:r w:rsidRPr="00530B67">
              <w:rPr>
                <w:lang w:val="en-AU" w:eastAsia="en-AU"/>
              </w:rPr>
              <w:t>T0.05</w:t>
            </w:r>
          </w:p>
        </w:tc>
      </w:tr>
      <w:tr w:rsidR="00530B67" w:rsidRPr="00530B67" w14:paraId="4ECB344B" w14:textId="77777777" w:rsidTr="000132C5">
        <w:tc>
          <w:tcPr>
            <w:tcW w:w="3402" w:type="dxa"/>
            <w:hideMark/>
          </w:tcPr>
          <w:p w14:paraId="5B3B8FBA" w14:textId="77777777" w:rsidR="00530B67" w:rsidRPr="00530B67" w:rsidRDefault="00530B67" w:rsidP="000132C5">
            <w:pPr>
              <w:pStyle w:val="FSCtblMRL1"/>
            </w:pPr>
            <w:r w:rsidRPr="00530B67">
              <w:t>Root vegetables</w:t>
            </w:r>
          </w:p>
        </w:tc>
        <w:tc>
          <w:tcPr>
            <w:tcW w:w="1134" w:type="dxa"/>
            <w:hideMark/>
          </w:tcPr>
          <w:p w14:paraId="1705A658" w14:textId="77777777" w:rsidR="00530B67" w:rsidRPr="00530B67" w:rsidRDefault="00530B67" w:rsidP="000132C5">
            <w:pPr>
              <w:pStyle w:val="FSCtblMRL2"/>
              <w:rPr>
                <w:lang w:val="en-AU" w:eastAsia="en-AU"/>
              </w:rPr>
            </w:pPr>
            <w:r w:rsidRPr="00530B67">
              <w:rPr>
                <w:lang w:val="en-AU" w:eastAsia="en-AU"/>
              </w:rPr>
              <w:t>0.1</w:t>
            </w:r>
          </w:p>
        </w:tc>
      </w:tr>
      <w:tr w:rsidR="00530B67" w:rsidRPr="00530B67" w14:paraId="35102A88" w14:textId="77777777" w:rsidTr="000132C5">
        <w:tc>
          <w:tcPr>
            <w:tcW w:w="3402" w:type="dxa"/>
            <w:hideMark/>
          </w:tcPr>
          <w:p w14:paraId="64A1EF2B" w14:textId="77777777" w:rsidR="00530B67" w:rsidRPr="00530B67" w:rsidRDefault="00530B67" w:rsidP="000132C5">
            <w:pPr>
              <w:pStyle w:val="FSCtblMRL1"/>
            </w:pPr>
            <w:r w:rsidRPr="00530B67">
              <w:t>Tuberous and corm vegetables</w:t>
            </w:r>
          </w:p>
        </w:tc>
        <w:tc>
          <w:tcPr>
            <w:tcW w:w="1134" w:type="dxa"/>
            <w:hideMark/>
          </w:tcPr>
          <w:p w14:paraId="3361413A" w14:textId="77777777" w:rsidR="00530B67" w:rsidRPr="00530B67" w:rsidRDefault="00530B67" w:rsidP="000132C5">
            <w:pPr>
              <w:pStyle w:val="FSCtblMRL2"/>
              <w:rPr>
                <w:lang w:val="en-AU" w:eastAsia="en-AU"/>
              </w:rPr>
            </w:pPr>
            <w:r w:rsidRPr="00530B67">
              <w:rPr>
                <w:lang w:val="en-AU" w:eastAsia="en-AU"/>
              </w:rPr>
              <w:t>0.1</w:t>
            </w:r>
          </w:p>
        </w:tc>
      </w:tr>
    </w:tbl>
    <w:p w14:paraId="483C82CA" w14:textId="77777777" w:rsidR="00530B67" w:rsidRPr="00530B67" w:rsidRDefault="00530B67" w:rsidP="00530B67">
      <w:pPr>
        <w:spacing w:before="120" w:after="120"/>
        <w:ind w:left="851" w:hanging="851"/>
        <w:rPr>
          <w:b/>
          <w:sz w:val="20"/>
          <w:szCs w:val="20"/>
          <w:lang w:bidi="ar-SA"/>
        </w:rPr>
      </w:pPr>
    </w:p>
    <w:p w14:paraId="547261FD" w14:textId="77777777" w:rsidR="00530B67" w:rsidRPr="00530B67" w:rsidRDefault="00530B67" w:rsidP="0001635C">
      <w:pPr>
        <w:pStyle w:val="FSCDraftingitemheading"/>
      </w:pPr>
      <w:r w:rsidRPr="00530B67">
        <w:t>[54]</w:t>
      </w:r>
      <w:r w:rsidRPr="00530B67">
        <w:tab/>
        <w:t xml:space="preserve">Section S20—3 (table entry for </w:t>
      </w:r>
      <w:proofErr w:type="spellStart"/>
      <w:r w:rsidRPr="00530B67">
        <w:t>Agvet</w:t>
      </w:r>
      <w:proofErr w:type="spellEnd"/>
      <w:r w:rsidRPr="00530B67">
        <w:t xml:space="preserve"> chemical: </w:t>
      </w:r>
      <w:proofErr w:type="spellStart"/>
      <w:r w:rsidRPr="00530B67">
        <w:t>Pyraflufen</w:t>
      </w:r>
      <w:proofErr w:type="spellEnd"/>
      <w:r w:rsidRPr="00530B67">
        <w:t>-ethyl)</w:t>
      </w:r>
    </w:p>
    <w:p w14:paraId="4326023F" w14:textId="77777777" w:rsidR="00530B67" w:rsidRPr="00530B67" w:rsidRDefault="00530B67" w:rsidP="00BD46BF">
      <w:pPr>
        <w:pStyle w:val="FSCDraftingitem"/>
        <w:ind w:left="851" w:hanging="851"/>
      </w:pPr>
      <w:r w:rsidRPr="00530B67">
        <w:tab/>
      </w:r>
      <w:r w:rsidRPr="00530B67">
        <w:rPr>
          <w:shd w:val="clear" w:color="auto" w:fill="FFFFFF"/>
        </w:rPr>
        <w:t>Insert</w:t>
      </w:r>
      <w:r w:rsidRPr="00530B67">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30B67" w:rsidRPr="00530B67" w14:paraId="36B78368" w14:textId="77777777" w:rsidTr="00530B67">
        <w:tc>
          <w:tcPr>
            <w:tcW w:w="3402" w:type="dxa"/>
            <w:shd w:val="clear" w:color="auto" w:fill="FFFFFF"/>
            <w:tcMar>
              <w:top w:w="0" w:type="dxa"/>
              <w:left w:w="108" w:type="dxa"/>
              <w:bottom w:w="0" w:type="dxa"/>
              <w:right w:w="108" w:type="dxa"/>
            </w:tcMar>
            <w:hideMark/>
          </w:tcPr>
          <w:p w14:paraId="243114D6" w14:textId="77777777" w:rsidR="00530B67" w:rsidRPr="00530B67" w:rsidRDefault="00530B67" w:rsidP="000E3E05">
            <w:pPr>
              <w:pStyle w:val="FSCtblMRL1"/>
              <w:rPr>
                <w:lang w:val="en-AU" w:eastAsia="en-GB"/>
              </w:rPr>
            </w:pPr>
            <w:r w:rsidRPr="00530B67">
              <w:t>Pulses</w:t>
            </w:r>
          </w:p>
        </w:tc>
        <w:tc>
          <w:tcPr>
            <w:tcW w:w="1020" w:type="dxa"/>
            <w:shd w:val="clear" w:color="auto" w:fill="FFFFFF"/>
            <w:tcMar>
              <w:top w:w="0" w:type="dxa"/>
              <w:left w:w="108" w:type="dxa"/>
              <w:bottom w:w="0" w:type="dxa"/>
              <w:right w:w="108" w:type="dxa"/>
            </w:tcMar>
            <w:hideMark/>
          </w:tcPr>
          <w:p w14:paraId="09F92971" w14:textId="77777777" w:rsidR="00530B67" w:rsidRPr="00530B67" w:rsidRDefault="00530B67" w:rsidP="003058F9">
            <w:pPr>
              <w:pStyle w:val="FSCtblMRL2"/>
              <w:rPr>
                <w:rFonts w:eastAsia="Calibri"/>
              </w:rPr>
            </w:pPr>
            <w:r w:rsidRPr="00530B67">
              <w:rPr>
                <w:rFonts w:eastAsia="Calibri"/>
              </w:rPr>
              <w:t>*0.02</w:t>
            </w:r>
          </w:p>
        </w:tc>
      </w:tr>
    </w:tbl>
    <w:p w14:paraId="3938FED4" w14:textId="77777777" w:rsidR="00530B67" w:rsidRPr="00530B67" w:rsidRDefault="00530B67" w:rsidP="00530B67">
      <w:pPr>
        <w:tabs>
          <w:tab w:val="left" w:pos="851"/>
        </w:tabs>
        <w:autoSpaceDE w:val="0"/>
        <w:autoSpaceDN w:val="0"/>
        <w:adjustRightInd w:val="0"/>
        <w:rPr>
          <w:b/>
          <w:color w:val="FF0000"/>
          <w:szCs w:val="20"/>
          <w:lang w:bidi="ar-SA"/>
        </w:rPr>
      </w:pPr>
    </w:p>
    <w:p w14:paraId="5A94E0E2" w14:textId="77777777" w:rsidR="00530B67" w:rsidRPr="00530B67" w:rsidRDefault="00530B67" w:rsidP="0001635C">
      <w:pPr>
        <w:pStyle w:val="FSCDraftingitemheading"/>
      </w:pPr>
      <w:r w:rsidRPr="00530B67">
        <w:t>[55]</w:t>
      </w:r>
      <w:r w:rsidRPr="00530B67">
        <w:tab/>
        <w:t xml:space="preserve">Section S20—3 (table entry for </w:t>
      </w:r>
      <w:proofErr w:type="spellStart"/>
      <w:r w:rsidRPr="00530B67">
        <w:t>Agvet</w:t>
      </w:r>
      <w:proofErr w:type="spellEnd"/>
      <w:r w:rsidRPr="00530B67">
        <w:t xml:space="preserve"> chemical: </w:t>
      </w:r>
      <w:proofErr w:type="spellStart"/>
      <w:r w:rsidRPr="00530B67">
        <w:t>Pyroxasulfone</w:t>
      </w:r>
      <w:proofErr w:type="spellEnd"/>
      <w:r w:rsidRPr="00530B67">
        <w:t>)</w:t>
      </w:r>
    </w:p>
    <w:p w14:paraId="1C841E16" w14:textId="77777777" w:rsidR="00530B67" w:rsidRPr="00530B67" w:rsidRDefault="00530B67" w:rsidP="00BD46BF">
      <w:pPr>
        <w:pStyle w:val="FSCDraftingitem"/>
        <w:ind w:left="851" w:hanging="851"/>
      </w:pPr>
      <w:r w:rsidRPr="00530B67">
        <w:tab/>
      </w:r>
      <w:r w:rsidRPr="00530B67">
        <w:rPr>
          <w:shd w:val="clear" w:color="auto" w:fill="FFFFFF"/>
        </w:rPr>
        <w:t>Insert</w:t>
      </w:r>
      <w:r w:rsidRPr="00530B67">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30B67" w:rsidRPr="00530B67" w14:paraId="2D8AABEF" w14:textId="77777777" w:rsidTr="00530B67">
        <w:tc>
          <w:tcPr>
            <w:tcW w:w="3402" w:type="dxa"/>
            <w:shd w:val="clear" w:color="auto" w:fill="FFFFFF"/>
            <w:tcMar>
              <w:top w:w="0" w:type="dxa"/>
              <w:left w:w="108" w:type="dxa"/>
              <w:bottom w:w="0" w:type="dxa"/>
              <w:right w:w="108" w:type="dxa"/>
            </w:tcMar>
            <w:hideMark/>
          </w:tcPr>
          <w:p w14:paraId="1382FF9F" w14:textId="77777777" w:rsidR="00530B67" w:rsidRPr="00530B67" w:rsidRDefault="00530B67" w:rsidP="000E3E05">
            <w:pPr>
              <w:pStyle w:val="FSCtblMRL1"/>
              <w:rPr>
                <w:lang w:val="en-AU" w:eastAsia="en-GB"/>
              </w:rPr>
            </w:pPr>
            <w:r w:rsidRPr="00530B67">
              <w:t>Pulses</w:t>
            </w:r>
          </w:p>
        </w:tc>
        <w:tc>
          <w:tcPr>
            <w:tcW w:w="1020" w:type="dxa"/>
            <w:shd w:val="clear" w:color="auto" w:fill="FFFFFF"/>
            <w:tcMar>
              <w:top w:w="0" w:type="dxa"/>
              <w:left w:w="108" w:type="dxa"/>
              <w:bottom w:w="0" w:type="dxa"/>
              <w:right w:w="108" w:type="dxa"/>
            </w:tcMar>
            <w:hideMark/>
          </w:tcPr>
          <w:p w14:paraId="23953122" w14:textId="77777777" w:rsidR="00530B67" w:rsidRPr="00530B67" w:rsidRDefault="00530B67" w:rsidP="003058F9">
            <w:pPr>
              <w:pStyle w:val="FSCtblMRL2"/>
              <w:rPr>
                <w:rFonts w:eastAsia="Calibri"/>
                <w:lang w:val="en-AU" w:eastAsia="en-AU"/>
              </w:rPr>
            </w:pPr>
            <w:r w:rsidRPr="00530B67">
              <w:rPr>
                <w:rFonts w:eastAsia="Calibri"/>
                <w:lang w:val="en-AU" w:eastAsia="en-AU"/>
              </w:rPr>
              <w:t>*0.01</w:t>
            </w:r>
          </w:p>
        </w:tc>
      </w:tr>
    </w:tbl>
    <w:p w14:paraId="3BF2CDB6" w14:textId="77777777" w:rsidR="00530B67" w:rsidRPr="00530B67" w:rsidRDefault="00530B67" w:rsidP="00530B67">
      <w:pPr>
        <w:tabs>
          <w:tab w:val="left" w:pos="851"/>
        </w:tabs>
        <w:autoSpaceDE w:val="0"/>
        <w:autoSpaceDN w:val="0"/>
        <w:adjustRightInd w:val="0"/>
        <w:rPr>
          <w:b/>
          <w:color w:val="FF0000"/>
          <w:szCs w:val="20"/>
          <w:lang w:bidi="ar-SA"/>
        </w:rPr>
      </w:pPr>
    </w:p>
    <w:p w14:paraId="6CCA8972" w14:textId="77777777" w:rsidR="00530B67" w:rsidRPr="00530B67" w:rsidRDefault="00530B67" w:rsidP="0001635C">
      <w:pPr>
        <w:pStyle w:val="FSCDraftingitemheading"/>
      </w:pPr>
      <w:r w:rsidRPr="00530B67">
        <w:t>[56]</w:t>
      </w:r>
      <w:r w:rsidRPr="00530B67">
        <w:tab/>
        <w:t xml:space="preserve">Section S20—3 (table entry for </w:t>
      </w:r>
      <w:proofErr w:type="spellStart"/>
      <w:r w:rsidRPr="00530B67">
        <w:t>Agvet</w:t>
      </w:r>
      <w:proofErr w:type="spellEnd"/>
      <w:r w:rsidRPr="00530B67">
        <w:t xml:space="preserve"> chemical: </w:t>
      </w:r>
      <w:proofErr w:type="spellStart"/>
      <w:r w:rsidRPr="00530B67">
        <w:t>Sethoxydim</w:t>
      </w:r>
      <w:proofErr w:type="spellEnd"/>
      <w:r w:rsidRPr="00530B67">
        <w:t>)</w:t>
      </w:r>
    </w:p>
    <w:p w14:paraId="3107BB73" w14:textId="77777777" w:rsidR="00530B67" w:rsidRPr="00530B67" w:rsidRDefault="00530B67" w:rsidP="00BD46BF">
      <w:pPr>
        <w:pStyle w:val="FSCDraftingitem"/>
        <w:ind w:left="851" w:hanging="851"/>
      </w:pPr>
      <w:r w:rsidRPr="00530B67">
        <w:tab/>
      </w:r>
      <w:r w:rsidRPr="00530B67">
        <w:rPr>
          <w:shd w:val="clear" w:color="auto" w:fill="FFFFFF"/>
        </w:rPr>
        <w:t>Insert</w:t>
      </w:r>
      <w:r w:rsidRPr="00530B67">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30B67" w:rsidRPr="00530B67" w14:paraId="189E063B" w14:textId="77777777" w:rsidTr="00530B67">
        <w:tc>
          <w:tcPr>
            <w:tcW w:w="3402" w:type="dxa"/>
            <w:shd w:val="clear" w:color="auto" w:fill="FFFFFF"/>
            <w:tcMar>
              <w:top w:w="0" w:type="dxa"/>
              <w:left w:w="108" w:type="dxa"/>
              <w:bottom w:w="0" w:type="dxa"/>
              <w:right w:w="108" w:type="dxa"/>
            </w:tcMar>
            <w:hideMark/>
          </w:tcPr>
          <w:p w14:paraId="10AEE6F3" w14:textId="77777777" w:rsidR="00530B67" w:rsidRPr="00530B67" w:rsidRDefault="00530B67" w:rsidP="000E3E05">
            <w:pPr>
              <w:pStyle w:val="FSCtblMRL1"/>
              <w:rPr>
                <w:lang w:val="en-AU" w:eastAsia="en-GB"/>
              </w:rPr>
            </w:pPr>
            <w:r w:rsidRPr="00530B67">
              <w:t>Pulses</w:t>
            </w:r>
            <w:r w:rsidRPr="00530B67">
              <w:rPr>
                <w:lang w:eastAsia="en-GB"/>
              </w:rPr>
              <w:t xml:space="preserve"> [except beans (dry); lupin (dry)]</w:t>
            </w:r>
          </w:p>
        </w:tc>
        <w:tc>
          <w:tcPr>
            <w:tcW w:w="1020" w:type="dxa"/>
            <w:shd w:val="clear" w:color="auto" w:fill="FFFFFF"/>
            <w:tcMar>
              <w:top w:w="0" w:type="dxa"/>
              <w:left w:w="108" w:type="dxa"/>
              <w:bottom w:w="0" w:type="dxa"/>
              <w:right w:w="108" w:type="dxa"/>
            </w:tcMar>
            <w:hideMark/>
          </w:tcPr>
          <w:p w14:paraId="20DEA649" w14:textId="77777777" w:rsidR="00530B67" w:rsidRPr="00530B67" w:rsidRDefault="00530B67" w:rsidP="003058F9">
            <w:pPr>
              <w:pStyle w:val="FSCtblMRL2"/>
              <w:rPr>
                <w:rFonts w:eastAsia="Calibri"/>
                <w:lang w:val="en-AU" w:eastAsia="en-AU"/>
              </w:rPr>
            </w:pPr>
            <w:r w:rsidRPr="00530B67">
              <w:rPr>
                <w:rFonts w:eastAsia="Calibri"/>
                <w:lang w:val="en-AU" w:eastAsia="en-AU"/>
              </w:rPr>
              <w:t>*0.1</w:t>
            </w:r>
          </w:p>
        </w:tc>
      </w:tr>
    </w:tbl>
    <w:p w14:paraId="0161B265" w14:textId="77777777" w:rsidR="00530B67" w:rsidRPr="00530B67" w:rsidRDefault="00530B67" w:rsidP="00530B67">
      <w:pPr>
        <w:tabs>
          <w:tab w:val="left" w:pos="851"/>
        </w:tabs>
        <w:autoSpaceDE w:val="0"/>
        <w:autoSpaceDN w:val="0"/>
        <w:adjustRightInd w:val="0"/>
        <w:rPr>
          <w:b/>
          <w:color w:val="FF0000"/>
          <w:szCs w:val="20"/>
          <w:lang w:bidi="ar-SA"/>
        </w:rPr>
      </w:pPr>
    </w:p>
    <w:p w14:paraId="1C057F92" w14:textId="77777777" w:rsidR="00530B67" w:rsidRPr="00530B67" w:rsidRDefault="00530B67" w:rsidP="0001635C">
      <w:pPr>
        <w:pStyle w:val="FSCDraftingitemheading"/>
      </w:pPr>
      <w:r w:rsidRPr="00530B67">
        <w:rPr>
          <w:shd w:val="clear" w:color="auto" w:fill="FFFFFF"/>
        </w:rPr>
        <w:t>[57]</w:t>
      </w:r>
      <w:r w:rsidRPr="00530B67">
        <w:rPr>
          <w:shd w:val="clear" w:color="auto" w:fill="FFFFFF"/>
        </w:rPr>
        <w:tab/>
      </w:r>
      <w:r w:rsidRPr="00530B67">
        <w:t xml:space="preserve">Section S20—3 (table entry for </w:t>
      </w:r>
      <w:proofErr w:type="spellStart"/>
      <w:r w:rsidRPr="00530B67">
        <w:t>Agvet</w:t>
      </w:r>
      <w:proofErr w:type="spellEnd"/>
      <w:r w:rsidRPr="00530B67">
        <w:t xml:space="preserve"> chemical: Triticonazole)</w:t>
      </w:r>
      <w:r w:rsidRPr="00530B67">
        <w:tab/>
      </w:r>
    </w:p>
    <w:p w14:paraId="19FBC455" w14:textId="77777777" w:rsidR="00530B67" w:rsidRPr="00530B67" w:rsidRDefault="00530B67" w:rsidP="00BD46BF">
      <w:pPr>
        <w:pStyle w:val="FSCDraftingitem"/>
        <w:ind w:left="851" w:hanging="851"/>
      </w:pPr>
      <w:r w:rsidRPr="00530B67">
        <w:tab/>
      </w:r>
      <w:r w:rsidRPr="00530B67">
        <w:rPr>
          <w:shd w:val="clear" w:color="auto" w:fill="FFFFFF"/>
        </w:rPr>
        <w:t>Omit</w:t>
      </w:r>
      <w:r w:rsidRPr="00530B67">
        <w:t>:</w:t>
      </w:r>
    </w:p>
    <w:p w14:paraId="6AA7AA02" w14:textId="77777777" w:rsidR="00530B67" w:rsidRPr="00530B67" w:rsidRDefault="00530B67" w:rsidP="000E3E05">
      <w:pPr>
        <w:pStyle w:val="FSCtblMRL1"/>
      </w:pPr>
      <w:r w:rsidRPr="00530B67">
        <w:t>Cereal grains (except sweet corns)</w:t>
      </w:r>
    </w:p>
    <w:p w14:paraId="3D320EF8" w14:textId="77777777" w:rsidR="00530B67" w:rsidRPr="00530B67" w:rsidRDefault="00530B67" w:rsidP="00BD46BF">
      <w:pPr>
        <w:pStyle w:val="FSCDraftingitem"/>
        <w:ind w:left="851" w:hanging="851"/>
      </w:pPr>
      <w:r w:rsidRPr="00530B67">
        <w:tab/>
      </w:r>
      <w:r w:rsidRPr="00530B67">
        <w:rPr>
          <w:shd w:val="clear" w:color="auto" w:fill="FFFFFF"/>
        </w:rPr>
        <w:t>substitute</w:t>
      </w:r>
      <w:r w:rsidRPr="00530B67">
        <w:t>:</w:t>
      </w:r>
    </w:p>
    <w:p w14:paraId="44750208" w14:textId="77777777" w:rsidR="00530B67" w:rsidRPr="00530B67" w:rsidRDefault="00530B67" w:rsidP="000E3E05">
      <w:pPr>
        <w:pStyle w:val="FSCtblMRL1"/>
      </w:pPr>
      <w:r w:rsidRPr="00530B67">
        <w:t>Cereal grains [except sweet corns]</w:t>
      </w:r>
    </w:p>
    <w:p w14:paraId="57DBC0C0" w14:textId="77777777" w:rsidR="00530B67" w:rsidRPr="00530B67" w:rsidRDefault="00530B67" w:rsidP="00530B67">
      <w:pPr>
        <w:keepLines/>
        <w:widowControl/>
        <w:spacing w:before="20" w:after="20"/>
        <w:rPr>
          <w:rFonts w:cs="Arial"/>
          <w:sz w:val="18"/>
          <w:szCs w:val="20"/>
          <w:lang w:eastAsia="en-AU"/>
        </w:rPr>
      </w:pPr>
    </w:p>
    <w:p w14:paraId="247E6968" w14:textId="77777777" w:rsidR="00530B67" w:rsidRPr="00530B67" w:rsidRDefault="00530B67" w:rsidP="0001635C">
      <w:pPr>
        <w:pStyle w:val="FSCDraftingitemheading"/>
      </w:pPr>
      <w:r w:rsidRPr="00530B67">
        <w:t>Schedule 25 Permitted novel foods</w:t>
      </w:r>
    </w:p>
    <w:p w14:paraId="209E8496" w14:textId="77777777" w:rsidR="00530B67" w:rsidRPr="00530B67" w:rsidRDefault="00530B67" w:rsidP="0001635C">
      <w:pPr>
        <w:pStyle w:val="FSCDraftingitemheading"/>
      </w:pPr>
      <w:r w:rsidRPr="00530B67">
        <w:t>[58]</w:t>
      </w:r>
      <w:r w:rsidRPr="00530B67">
        <w:tab/>
        <w:t>Section S25—2 (table entry for “Rapeseed protein isolate”)</w:t>
      </w:r>
    </w:p>
    <w:p w14:paraId="7C51451B" w14:textId="77777777" w:rsidR="00530B67" w:rsidRPr="00530B67" w:rsidRDefault="00530B67" w:rsidP="00BD46BF">
      <w:pPr>
        <w:pStyle w:val="FSCDraftingitem"/>
        <w:ind w:left="851" w:hanging="851"/>
      </w:pPr>
      <w:r w:rsidRPr="00530B67">
        <w:tab/>
      </w:r>
      <w:r w:rsidRPr="00530B67">
        <w:rPr>
          <w:shd w:val="clear" w:color="auto" w:fill="FFFFFF"/>
        </w:rPr>
        <w:t>Omit</w:t>
      </w:r>
      <w:r w:rsidRPr="00530B67">
        <w:t xml:space="preserve"> “section S3—40”, substitute “section S3—39A”</w:t>
      </w:r>
    </w:p>
    <w:p w14:paraId="2744A6EE" w14:textId="77777777" w:rsidR="00530B67" w:rsidRPr="00530B67" w:rsidRDefault="00530B67" w:rsidP="00530B67">
      <w:pPr>
        <w:rPr>
          <w:lang w:bidi="ar-SA"/>
        </w:rPr>
      </w:pPr>
    </w:p>
    <w:p w14:paraId="72766D2C" w14:textId="77777777" w:rsidR="00BC3899" w:rsidRPr="00BC3899" w:rsidRDefault="00BC3899" w:rsidP="00BC3899">
      <w:pPr>
        <w:rPr>
          <w:lang w:bidi="ar-SA"/>
        </w:rPr>
      </w:pPr>
    </w:p>
    <w:p w14:paraId="1E5945AF" w14:textId="77777777" w:rsidR="0012388D" w:rsidRDefault="0012388D" w:rsidP="00795D86"/>
    <w:p w14:paraId="61D31666" w14:textId="77777777" w:rsidR="00BD49FF" w:rsidRPr="00EC66BB" w:rsidRDefault="00BD49FF">
      <w:pPr>
        <w:widowControl/>
      </w:pPr>
      <w:r>
        <w:br w:type="page"/>
      </w:r>
    </w:p>
    <w:bookmarkEnd w:id="132"/>
    <w:bookmarkEnd w:id="133"/>
    <w:bookmarkEnd w:id="134"/>
    <w:bookmarkEnd w:id="135"/>
    <w:bookmarkEnd w:id="136"/>
    <w:bookmarkEnd w:id="137"/>
    <w:bookmarkEnd w:id="138"/>
    <w:p w14:paraId="36250C8C" w14:textId="77777777" w:rsidR="0012388D" w:rsidRDefault="0012388D" w:rsidP="00755F02">
      <w:pPr>
        <w:rPr>
          <w:rFonts w:cs="Arial"/>
        </w:rPr>
      </w:pPr>
    </w:p>
    <w:sectPr w:rsidR="0012388D"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0A21" w14:textId="77777777" w:rsidR="009F60CE" w:rsidRDefault="009F60CE">
      <w:r>
        <w:separator/>
      </w:r>
    </w:p>
    <w:p w14:paraId="6A246A61" w14:textId="77777777" w:rsidR="009F60CE" w:rsidRDefault="009F60CE"/>
  </w:endnote>
  <w:endnote w:type="continuationSeparator" w:id="0">
    <w:p w14:paraId="5609455B" w14:textId="77777777" w:rsidR="009F60CE" w:rsidRDefault="009F60CE">
      <w:r>
        <w:continuationSeparator/>
      </w:r>
    </w:p>
    <w:p w14:paraId="3CB6976A" w14:textId="77777777" w:rsidR="009F60CE" w:rsidRDefault="009F60CE"/>
  </w:endnote>
  <w:endnote w:type="continuationNotice" w:id="1">
    <w:p w14:paraId="59754C93" w14:textId="77777777" w:rsidR="009F60CE" w:rsidRDefault="009F6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F0D" w14:textId="495A7F66" w:rsidR="00C92452" w:rsidRPr="00C92452" w:rsidRDefault="00667F81" w:rsidP="00C92452">
    <w:pPr>
      <w:pStyle w:val="Footer"/>
      <w:framePr w:wrap="around" w:vAnchor="text" w:hAnchor="margin" w:xAlign="center" w:y="1"/>
      <w:jc w:val="center"/>
      <w:rPr>
        <w:rStyle w:val="PageNumber"/>
        <w:rFonts w:ascii="Calibri" w:hAnsi="Calibri" w:cs="Calibri"/>
        <w:b/>
        <w:color w:val="F00000"/>
        <w:sz w:val="24"/>
      </w:rPr>
    </w:pPr>
    <w:r>
      <w:rPr>
        <w:noProof/>
      </w:rPr>
      <mc:AlternateContent>
        <mc:Choice Requires="wps">
          <w:drawing>
            <wp:anchor distT="0" distB="0" distL="114300" distR="114300" simplePos="0" relativeHeight="251658257" behindDoc="0" locked="1" layoutInCell="0" allowOverlap="1" wp14:anchorId="2C8916F3" wp14:editId="0D725AA2">
              <wp:simplePos x="0" y="0"/>
              <wp:positionH relativeFrom="margin">
                <wp:align>center</wp:align>
              </wp:positionH>
              <wp:positionV relativeFrom="bottomMargin">
                <wp:align>center</wp:align>
              </wp:positionV>
              <wp:extent cx="892175" cy="273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EC6812" w14:textId="58BEC8DB" w:rsidR="00667F81" w:rsidRPr="00667F81" w:rsidRDefault="00667F81" w:rsidP="00667F81">
                          <w:pPr>
                            <w:jc w:val="center"/>
                            <w:rPr>
                              <w:b/>
                              <w:color w:val="FF0000"/>
                              <w:sz w:val="24"/>
                            </w:rPr>
                          </w:pPr>
                          <w:r w:rsidRPr="00667F81">
                            <w:rPr>
                              <w:b/>
                              <w:color w:val="FF0000"/>
                              <w:sz w:val="24"/>
                            </w:rPr>
                            <w:fldChar w:fldCharType="begin"/>
                          </w:r>
                          <w:r w:rsidRPr="00667F81">
                            <w:rPr>
                              <w:b/>
                              <w:color w:val="FF0000"/>
                              <w:sz w:val="24"/>
                            </w:rPr>
                            <w:instrText xml:space="preserve"> DOCPROPERTY PM_ProtectiveMarkingValue_Footer \* MERGEFORMAT </w:instrText>
                          </w:r>
                          <w:r w:rsidRPr="00667F81">
                            <w:rPr>
                              <w:b/>
                              <w:color w:val="FF0000"/>
                              <w:sz w:val="24"/>
                            </w:rPr>
                            <w:fldChar w:fldCharType="separate"/>
                          </w:r>
                          <w:r w:rsidR="00A70646">
                            <w:rPr>
                              <w:b/>
                              <w:color w:val="FF0000"/>
                              <w:sz w:val="24"/>
                            </w:rPr>
                            <w:t>UNOFFICIAL</w:t>
                          </w:r>
                          <w:r w:rsidRPr="00667F8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8916F3" id="_x0000_t202" coordsize="21600,21600" o:spt="202" path="m,l,21600r21600,l21600,xe">
              <v:stroke joinstyle="miter"/>
              <v:path gradientshapeok="t" o:connecttype="rect"/>
            </v:shapetype>
            <v:shape id="Text Box 22" o:spid="_x0000_s1029" type="#_x0000_t202" style="position:absolute;left:0;text-align:left;margin-left:0;margin-top:0;width:70.25pt;height:21.5pt;z-index:25165825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1AEC6812" w14:textId="58BEC8DB" w:rsidR="00667F81" w:rsidRPr="00667F81" w:rsidRDefault="00667F81" w:rsidP="00667F81">
                    <w:pPr>
                      <w:jc w:val="center"/>
                      <w:rPr>
                        <w:b/>
                        <w:color w:val="FF0000"/>
                        <w:sz w:val="24"/>
                      </w:rPr>
                    </w:pPr>
                    <w:r w:rsidRPr="00667F81">
                      <w:rPr>
                        <w:b/>
                        <w:color w:val="FF0000"/>
                        <w:sz w:val="24"/>
                      </w:rPr>
                      <w:fldChar w:fldCharType="begin"/>
                    </w:r>
                    <w:r w:rsidRPr="00667F81">
                      <w:rPr>
                        <w:b/>
                        <w:color w:val="FF0000"/>
                        <w:sz w:val="24"/>
                      </w:rPr>
                      <w:instrText xml:space="preserve"> DOCPROPERTY PM_ProtectiveMarkingValue_Footer \* MERGEFORMAT </w:instrText>
                    </w:r>
                    <w:r w:rsidRPr="00667F81">
                      <w:rPr>
                        <w:b/>
                        <w:color w:val="FF0000"/>
                        <w:sz w:val="24"/>
                      </w:rPr>
                      <w:fldChar w:fldCharType="separate"/>
                    </w:r>
                    <w:r w:rsidR="00A70646">
                      <w:rPr>
                        <w:b/>
                        <w:color w:val="FF0000"/>
                        <w:sz w:val="24"/>
                      </w:rPr>
                      <w:t>UNOFFICIAL</w:t>
                    </w:r>
                    <w:r w:rsidRPr="00667F81">
                      <w:rPr>
                        <w:b/>
                        <w:color w:val="FF0000"/>
                        <w:sz w:val="24"/>
                      </w:rPr>
                      <w:fldChar w:fldCharType="end"/>
                    </w:r>
                  </w:p>
                </w:txbxContent>
              </v:textbox>
              <w10:wrap anchorx="margin" anchory="margin"/>
              <w10:anchorlock/>
            </v:shape>
          </w:pict>
        </mc:Fallback>
      </mc:AlternateContent>
    </w:r>
    <w:r w:rsidR="002F2D7A">
      <w:rPr>
        <w:noProof/>
      </w:rPr>
      <mc:AlternateContent>
        <mc:Choice Requires="wps">
          <w:drawing>
            <wp:anchor distT="0" distB="0" distL="114300" distR="114300" simplePos="0" relativeHeight="251658251" behindDoc="0" locked="1" layoutInCell="0" allowOverlap="1" wp14:anchorId="0ADD94EF" wp14:editId="435F6DE0">
              <wp:simplePos x="0" y="0"/>
              <wp:positionH relativeFrom="margin">
                <wp:align>center</wp:align>
              </wp:positionH>
              <wp:positionV relativeFrom="bottomMargin">
                <wp:align>center</wp:align>
              </wp:positionV>
              <wp:extent cx="892175" cy="273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24775" w14:textId="04FD99E6" w:rsidR="002F2D7A" w:rsidRPr="002F2D7A" w:rsidRDefault="002F2D7A" w:rsidP="002F2D7A">
                          <w:pPr>
                            <w:jc w:val="center"/>
                            <w:rPr>
                              <w:b/>
                              <w:color w:val="FF0000"/>
                              <w:sz w:val="24"/>
                            </w:rPr>
                          </w:pPr>
                          <w:r w:rsidRPr="002F2D7A">
                            <w:rPr>
                              <w:b/>
                              <w:color w:val="FF0000"/>
                              <w:sz w:val="24"/>
                            </w:rPr>
                            <w:fldChar w:fldCharType="begin"/>
                          </w:r>
                          <w:r w:rsidRPr="002F2D7A">
                            <w:rPr>
                              <w:b/>
                              <w:color w:val="FF0000"/>
                              <w:sz w:val="24"/>
                            </w:rPr>
                            <w:instrText xml:space="preserve"> DOCPROPERTY PM_ProtectiveMarkingValue_Footer \* MERGEFORMAT </w:instrText>
                          </w:r>
                          <w:r w:rsidRPr="002F2D7A">
                            <w:rPr>
                              <w:b/>
                              <w:color w:val="FF0000"/>
                              <w:sz w:val="24"/>
                            </w:rPr>
                            <w:fldChar w:fldCharType="separate"/>
                          </w:r>
                          <w:r w:rsidR="00A70646">
                            <w:rPr>
                              <w:b/>
                              <w:color w:val="FF0000"/>
                              <w:sz w:val="24"/>
                            </w:rPr>
                            <w:t>UNOFFICIAL</w:t>
                          </w:r>
                          <w:r w:rsidRPr="002F2D7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DD94EF" id="Text Box 16" o:spid="_x0000_s1030" type="#_x0000_t202" style="position:absolute;left:0;text-align:left;margin-left:0;margin-top:0;width:70.25pt;height:21.5pt;z-index:25165825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49A24775" w14:textId="04FD99E6" w:rsidR="002F2D7A" w:rsidRPr="002F2D7A" w:rsidRDefault="002F2D7A" w:rsidP="002F2D7A">
                    <w:pPr>
                      <w:jc w:val="center"/>
                      <w:rPr>
                        <w:b/>
                        <w:color w:val="FF0000"/>
                        <w:sz w:val="24"/>
                      </w:rPr>
                    </w:pPr>
                    <w:r w:rsidRPr="002F2D7A">
                      <w:rPr>
                        <w:b/>
                        <w:color w:val="FF0000"/>
                        <w:sz w:val="24"/>
                      </w:rPr>
                      <w:fldChar w:fldCharType="begin"/>
                    </w:r>
                    <w:r w:rsidRPr="002F2D7A">
                      <w:rPr>
                        <w:b/>
                        <w:color w:val="FF0000"/>
                        <w:sz w:val="24"/>
                      </w:rPr>
                      <w:instrText xml:space="preserve"> DOCPROPERTY PM_ProtectiveMarkingValue_Footer \* MERGEFORMAT </w:instrText>
                    </w:r>
                    <w:r w:rsidRPr="002F2D7A">
                      <w:rPr>
                        <w:b/>
                        <w:color w:val="FF0000"/>
                        <w:sz w:val="24"/>
                      </w:rPr>
                      <w:fldChar w:fldCharType="separate"/>
                    </w:r>
                    <w:r w:rsidR="00A70646">
                      <w:rPr>
                        <w:b/>
                        <w:color w:val="FF0000"/>
                        <w:sz w:val="24"/>
                      </w:rPr>
                      <w:t>UNOFFICIAL</w:t>
                    </w:r>
                    <w:r w:rsidRPr="002F2D7A">
                      <w:rPr>
                        <w:b/>
                        <w:color w:val="FF0000"/>
                        <w:sz w:val="24"/>
                      </w:rPr>
                      <w:fldChar w:fldCharType="end"/>
                    </w:r>
                  </w:p>
                </w:txbxContent>
              </v:textbox>
              <w10:wrap anchorx="margin" anchory="margin"/>
              <w10:anchorlock/>
            </v:shape>
          </w:pict>
        </mc:Fallback>
      </mc:AlternateContent>
    </w:r>
    <w:r w:rsidR="00667E28">
      <w:rPr>
        <w:noProof/>
      </w:rPr>
      <mc:AlternateContent>
        <mc:Choice Requires="wps">
          <w:drawing>
            <wp:anchor distT="0" distB="0" distL="114300" distR="114300" simplePos="0" relativeHeight="251658244" behindDoc="0" locked="1" layoutInCell="0" allowOverlap="1" wp14:anchorId="43AC4095" wp14:editId="40FE0DD0">
              <wp:simplePos x="0" y="0"/>
              <wp:positionH relativeFrom="margin">
                <wp:align>center</wp:align>
              </wp:positionH>
              <wp:positionV relativeFrom="bottomMargin">
                <wp:align>center</wp:align>
              </wp:positionV>
              <wp:extent cx="892175" cy="273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C8971" w14:textId="47150B0B" w:rsidR="00667E28" w:rsidRPr="00AD13FD" w:rsidRDefault="00A93B5D" w:rsidP="00AD13FD">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sidR="00A70646">
                            <w:rPr>
                              <w:rFonts w:cs="Arial"/>
                              <w:b/>
                              <w:color w:val="FF0000"/>
                              <w:sz w:val="24"/>
                            </w:rPr>
                            <w:t>UNOFFICIAL</w:t>
                          </w:r>
                          <w:r>
                            <w:rPr>
                              <w:rFonts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AC4095" id="Text Box 10" o:spid="_x0000_s1031" type="#_x0000_t202" style="position:absolute;left:0;text-align:left;margin-left:0;margin-top:0;width:70.25pt;height:21.5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5E4C8971" w14:textId="47150B0B" w:rsidR="00667E28" w:rsidRPr="00AD13FD" w:rsidRDefault="00A93B5D" w:rsidP="00AD13FD">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sidR="00A70646">
                      <w:rPr>
                        <w:rFonts w:cs="Arial"/>
                        <w:b/>
                        <w:color w:val="FF0000"/>
                        <w:sz w:val="24"/>
                      </w:rPr>
                      <w:t>UNOFFICIAL</w:t>
                    </w:r>
                    <w:r>
                      <w:rPr>
                        <w:rFonts w:cs="Arial"/>
                        <w:b/>
                        <w:color w:val="FF0000"/>
                        <w:sz w:val="24"/>
                      </w:rPr>
                      <w:fldChar w:fldCharType="end"/>
                    </w:r>
                  </w:p>
                </w:txbxContent>
              </v:textbox>
              <w10:wrap anchorx="margin" anchory="margin"/>
              <w10:anchorlock/>
            </v:shape>
          </w:pict>
        </mc:Fallback>
      </mc:AlternateContent>
    </w:r>
    <w:r w:rsidR="00C92452">
      <w:rPr>
        <w:rStyle w:val="PageNumber"/>
      </w:rPr>
      <w:fldChar w:fldCharType="begin" w:fldLock="1"/>
    </w:r>
    <w:r w:rsidR="00C92452">
      <w:rPr>
        <w:rStyle w:val="PageNumber"/>
      </w:rPr>
      <w:instrText xml:space="preserve"> DOCPROPERTY bjFooterEvenPageDocProperty \* MERGEFORMAT </w:instrText>
    </w:r>
    <w:r w:rsidR="00C92452">
      <w:rPr>
        <w:rStyle w:val="PageNumber"/>
      </w:rPr>
      <w:fldChar w:fldCharType="separate"/>
    </w:r>
  </w:p>
  <w:p w14:paraId="60806267" w14:textId="77777777" w:rsidR="00B92501" w:rsidRDefault="00C92452" w:rsidP="00C92452">
    <w:pPr>
      <w:pStyle w:val="Footer"/>
      <w:framePr w:wrap="around" w:vAnchor="text" w:hAnchor="margin" w:xAlign="center" w:y="1"/>
      <w:jc w:val="center"/>
      <w:rPr>
        <w:rStyle w:val="PageNumber"/>
      </w:rPr>
    </w:pPr>
    <w:r w:rsidRPr="00C92452">
      <w:rPr>
        <w:rStyle w:val="PageNumber"/>
        <w:rFonts w:ascii="Calibri" w:hAnsi="Calibri" w:cs="Calibri"/>
        <w:b/>
        <w:color w:val="F00000"/>
        <w:sz w:val="24"/>
      </w:rPr>
      <w:t>OFFICIAL</w:t>
    </w:r>
    <w:r>
      <w:rPr>
        <w:rStyle w:val="PageNumber"/>
      </w:rPr>
      <w:t xml:space="preserve"> </w:t>
    </w:r>
    <w:r>
      <w:rPr>
        <w:rStyle w:val="PageNumber"/>
      </w:rPr>
      <w:fldChar w:fldCharType="end"/>
    </w:r>
    <w:r w:rsidR="00B92501">
      <w:rPr>
        <w:rStyle w:val="PageNumber"/>
      </w:rPr>
      <w:fldChar w:fldCharType="begin"/>
    </w:r>
    <w:r w:rsidR="00B92501">
      <w:rPr>
        <w:rStyle w:val="PageNumber"/>
      </w:rPr>
      <w:instrText xml:space="preserve">PAGE  </w:instrText>
    </w:r>
    <w:r w:rsidR="00B92501">
      <w:rPr>
        <w:rStyle w:val="PageNumber"/>
      </w:rPr>
      <w:fldChar w:fldCharType="end"/>
    </w:r>
  </w:p>
  <w:p w14:paraId="384BECD9" w14:textId="77777777" w:rsidR="00B92501" w:rsidRDefault="00B92501" w:rsidP="00C92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55D8" w14:textId="09DC30AB" w:rsidR="00C92452" w:rsidRDefault="00667E28" w:rsidP="00A11A13">
    <w:pPr>
      <w:pStyle w:val="Footer"/>
      <w:jc w:val="center"/>
    </w:pPr>
    <w:r>
      <w:rPr>
        <w:noProof/>
      </w:rPr>
      <mc:AlternateContent>
        <mc:Choice Requires="wps">
          <w:drawing>
            <wp:anchor distT="0" distB="0" distL="114300" distR="114300" simplePos="0" relativeHeight="251658242" behindDoc="0" locked="1" layoutInCell="0" allowOverlap="1" wp14:anchorId="576A1D5C" wp14:editId="72A0C643">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1E754" w14:textId="7AD362B6" w:rsidR="00667E28" w:rsidRPr="00AD13FD" w:rsidRDefault="00667E28" w:rsidP="00AD13FD">
                          <w:pPr>
                            <w:jc w:val="center"/>
                            <w:rPr>
                              <w:rFonts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6A1D5C" id="_x0000_t202" coordsize="21600,21600" o:spt="202" path="m,l,21600r21600,l21600,xe">
              <v:stroke joinstyle="miter"/>
              <v:path gradientshapeok="t" o:connecttype="rect"/>
            </v:shapetype>
            <v:shape id="Text Box 8" o:spid="_x0000_s1032" type="#_x0000_t202" style="position:absolute;left:0;text-align:left;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7C41E754" w14:textId="7AD362B6" w:rsidR="00667E28" w:rsidRPr="00AD13FD" w:rsidRDefault="00667E28" w:rsidP="00AD13FD">
                    <w:pPr>
                      <w:jc w:val="center"/>
                      <w:rPr>
                        <w:rFonts w:cs="Arial"/>
                        <w:b/>
                        <w:color w:val="FF0000"/>
                        <w:sz w:val="24"/>
                      </w:rPr>
                    </w:pPr>
                  </w:p>
                </w:txbxContent>
              </v:textbox>
              <w10:wrap anchorx="margin" anchory="margin"/>
              <w10:anchorlock/>
            </v:shape>
          </w:pict>
        </mc:Fallback>
      </mc:AlternateContent>
    </w:r>
    <w:r w:rsidR="00A11A13">
      <w:t xml:space="preserve"> </w:t>
    </w:r>
  </w:p>
  <w:sdt>
    <w:sdtPr>
      <w:id w:val="-640497913"/>
      <w:docPartObj>
        <w:docPartGallery w:val="Page Numbers (Bottom of Page)"/>
        <w:docPartUnique/>
      </w:docPartObj>
    </w:sdtPr>
    <w:sdtEndPr>
      <w:rPr>
        <w:noProof/>
      </w:rPr>
    </w:sdtEndPr>
    <w:sdtContent>
      <w:p w14:paraId="6E3F80DB" w14:textId="77777777" w:rsidR="00B0385D" w:rsidRDefault="00B0385D" w:rsidP="00A671E6">
        <w:pPr>
          <w:pStyle w:val="Footer"/>
          <w:jc w:val="center"/>
        </w:pPr>
      </w:p>
      <w:sdt>
        <w:sdtPr>
          <w:id w:val="653027749"/>
          <w:docPartObj>
            <w:docPartGallery w:val="Page Numbers (Bottom of Page)"/>
            <w:docPartUnique/>
          </w:docPartObj>
        </w:sdtPr>
        <w:sdtContent>
          <w:sdt>
            <w:sdtPr>
              <w:id w:val="-1705238520"/>
              <w:docPartObj>
                <w:docPartGallery w:val="Page Numbers (Top of Page)"/>
                <w:docPartUnique/>
              </w:docPartObj>
            </w:sdtPr>
            <w:sdtContent>
              <w:p w14:paraId="7686C170" w14:textId="77777777" w:rsidR="00B0385D" w:rsidRPr="00CF578F" w:rsidRDefault="00B0385D" w:rsidP="00B0385D">
                <w:pPr>
                  <w:pStyle w:val="Footer"/>
                  <w:jc w:val="right"/>
                  <w:rPr>
                    <w:rStyle w:val="PageNumber"/>
                  </w:rPr>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4</w:t>
                </w:r>
                <w:r>
                  <w:rPr>
                    <w:b/>
                    <w:bCs/>
                    <w:sz w:val="24"/>
                  </w:rPr>
                  <w:fldChar w:fldCharType="end"/>
                </w:r>
              </w:p>
            </w:sdtContent>
          </w:sdt>
        </w:sdtContent>
      </w:sdt>
      <w:p w14:paraId="3550C448" w14:textId="77777777" w:rsidR="00B0385D" w:rsidRDefault="00B0385D" w:rsidP="00A671E6">
        <w:pPr>
          <w:pStyle w:val="Footer"/>
          <w:jc w:val="center"/>
        </w:pPr>
      </w:p>
      <w:p w14:paraId="286414D0" w14:textId="153F37EA" w:rsidR="00B92501" w:rsidRDefault="00000000" w:rsidP="00A671E6">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A7B2" w14:textId="51A99500" w:rsidR="00C92452" w:rsidRPr="00C92452" w:rsidRDefault="00667F81" w:rsidP="00C92452">
    <w:pPr>
      <w:pStyle w:val="Footer"/>
      <w:jc w:val="center"/>
      <w:rPr>
        <w:rFonts w:ascii="Calibri" w:hAnsi="Calibri" w:cs="Calibri"/>
        <w:b/>
        <w:color w:val="F00000"/>
        <w:sz w:val="24"/>
      </w:rPr>
    </w:pPr>
    <w:r>
      <w:rPr>
        <w:noProof/>
      </w:rPr>
      <mc:AlternateContent>
        <mc:Choice Requires="wps">
          <w:drawing>
            <wp:anchor distT="0" distB="0" distL="114300" distR="114300" simplePos="0" relativeHeight="251658256" behindDoc="0" locked="1" layoutInCell="0" allowOverlap="1" wp14:anchorId="0A1189FD" wp14:editId="71FAA8CC">
              <wp:simplePos x="0" y="0"/>
              <wp:positionH relativeFrom="margin">
                <wp:align>center</wp:align>
              </wp:positionH>
              <wp:positionV relativeFrom="bottomMargin">
                <wp:align>center</wp:align>
              </wp:positionV>
              <wp:extent cx="892175" cy="2730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D7192" w14:textId="785BFFD0" w:rsidR="00667F81" w:rsidRPr="00667F81" w:rsidRDefault="00667F81" w:rsidP="00667F81">
                          <w:pPr>
                            <w:jc w:val="center"/>
                            <w:rPr>
                              <w:b/>
                              <w:color w:val="FF0000"/>
                              <w:sz w:val="24"/>
                            </w:rPr>
                          </w:pPr>
                          <w:r w:rsidRPr="00667F81">
                            <w:rPr>
                              <w:b/>
                              <w:color w:val="FF0000"/>
                              <w:sz w:val="24"/>
                            </w:rPr>
                            <w:fldChar w:fldCharType="begin"/>
                          </w:r>
                          <w:r w:rsidRPr="00667F81">
                            <w:rPr>
                              <w:b/>
                              <w:color w:val="FF0000"/>
                              <w:sz w:val="24"/>
                            </w:rPr>
                            <w:instrText xml:space="preserve"> DOCPROPERTY PM_ProtectiveMarkingValue_Footer \* MERGEFORMAT </w:instrText>
                          </w:r>
                          <w:r w:rsidRPr="00667F81">
                            <w:rPr>
                              <w:b/>
                              <w:color w:val="FF0000"/>
                              <w:sz w:val="24"/>
                            </w:rPr>
                            <w:fldChar w:fldCharType="separate"/>
                          </w:r>
                          <w:r w:rsidR="00A70646">
                            <w:rPr>
                              <w:b/>
                              <w:color w:val="FF0000"/>
                              <w:sz w:val="24"/>
                            </w:rPr>
                            <w:t>UNOFFICIAL</w:t>
                          </w:r>
                          <w:r w:rsidRPr="00667F8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1189FD" id="_x0000_t202" coordsize="21600,21600" o:spt="202" path="m,l,21600r21600,l21600,xe">
              <v:stroke joinstyle="miter"/>
              <v:path gradientshapeok="t" o:connecttype="rect"/>
            </v:shapetype>
            <v:shape id="Text Box 21" o:spid="_x0000_s1036" type="#_x0000_t202" style="position:absolute;left:0;text-align:left;margin-left:0;margin-top:0;width:70.25pt;height:21.5pt;z-index:2516582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7A0D7192" w14:textId="785BFFD0" w:rsidR="00667F81" w:rsidRPr="00667F81" w:rsidRDefault="00667F81" w:rsidP="00667F81">
                    <w:pPr>
                      <w:jc w:val="center"/>
                      <w:rPr>
                        <w:b/>
                        <w:color w:val="FF0000"/>
                        <w:sz w:val="24"/>
                      </w:rPr>
                    </w:pPr>
                    <w:r w:rsidRPr="00667F81">
                      <w:rPr>
                        <w:b/>
                        <w:color w:val="FF0000"/>
                        <w:sz w:val="24"/>
                      </w:rPr>
                      <w:fldChar w:fldCharType="begin"/>
                    </w:r>
                    <w:r w:rsidRPr="00667F81">
                      <w:rPr>
                        <w:b/>
                        <w:color w:val="FF0000"/>
                        <w:sz w:val="24"/>
                      </w:rPr>
                      <w:instrText xml:space="preserve"> DOCPROPERTY PM_ProtectiveMarkingValue_Footer \* MERGEFORMAT </w:instrText>
                    </w:r>
                    <w:r w:rsidRPr="00667F81">
                      <w:rPr>
                        <w:b/>
                        <w:color w:val="FF0000"/>
                        <w:sz w:val="24"/>
                      </w:rPr>
                      <w:fldChar w:fldCharType="separate"/>
                    </w:r>
                    <w:r w:rsidR="00A70646">
                      <w:rPr>
                        <w:b/>
                        <w:color w:val="FF0000"/>
                        <w:sz w:val="24"/>
                      </w:rPr>
                      <w:t>UNOFFICIAL</w:t>
                    </w:r>
                    <w:r w:rsidRPr="00667F81">
                      <w:rPr>
                        <w:b/>
                        <w:color w:val="FF0000"/>
                        <w:sz w:val="24"/>
                      </w:rPr>
                      <w:fldChar w:fldCharType="end"/>
                    </w:r>
                  </w:p>
                </w:txbxContent>
              </v:textbox>
              <w10:wrap anchorx="margin" anchory="margin"/>
              <w10:anchorlock/>
            </v:shape>
          </w:pict>
        </mc:Fallback>
      </mc:AlternateContent>
    </w:r>
    <w:r w:rsidR="002F2D7A">
      <w:rPr>
        <w:noProof/>
      </w:rPr>
      <mc:AlternateContent>
        <mc:Choice Requires="wps">
          <w:drawing>
            <wp:anchor distT="0" distB="0" distL="114300" distR="114300" simplePos="0" relativeHeight="251658250" behindDoc="0" locked="1" layoutInCell="0" allowOverlap="1" wp14:anchorId="09DADAD7" wp14:editId="0C036A01">
              <wp:simplePos x="0" y="0"/>
              <wp:positionH relativeFrom="margin">
                <wp:align>center</wp:align>
              </wp:positionH>
              <wp:positionV relativeFrom="bottomMargin">
                <wp:align>center</wp:align>
              </wp:positionV>
              <wp:extent cx="892175" cy="27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2A995" w14:textId="324A473A" w:rsidR="002F2D7A" w:rsidRPr="002F2D7A" w:rsidRDefault="002F2D7A" w:rsidP="002F2D7A">
                          <w:pPr>
                            <w:jc w:val="center"/>
                            <w:rPr>
                              <w:b/>
                              <w:color w:val="FF0000"/>
                              <w:sz w:val="24"/>
                            </w:rPr>
                          </w:pPr>
                          <w:r w:rsidRPr="002F2D7A">
                            <w:rPr>
                              <w:b/>
                              <w:color w:val="FF0000"/>
                              <w:sz w:val="24"/>
                            </w:rPr>
                            <w:fldChar w:fldCharType="begin"/>
                          </w:r>
                          <w:r w:rsidRPr="002F2D7A">
                            <w:rPr>
                              <w:b/>
                              <w:color w:val="FF0000"/>
                              <w:sz w:val="24"/>
                            </w:rPr>
                            <w:instrText xml:space="preserve"> DOCPROPERTY PM_ProtectiveMarkingValue_Footer \* MERGEFORMAT </w:instrText>
                          </w:r>
                          <w:r w:rsidRPr="002F2D7A">
                            <w:rPr>
                              <w:b/>
                              <w:color w:val="FF0000"/>
                              <w:sz w:val="24"/>
                            </w:rPr>
                            <w:fldChar w:fldCharType="separate"/>
                          </w:r>
                          <w:r w:rsidR="00A70646">
                            <w:rPr>
                              <w:b/>
                              <w:color w:val="FF0000"/>
                              <w:sz w:val="24"/>
                            </w:rPr>
                            <w:t>UNOFFICIAL</w:t>
                          </w:r>
                          <w:r w:rsidRPr="002F2D7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DADAD7" id="Text Box 15" o:spid="_x0000_s1037" type="#_x0000_t202" style="position:absolute;left:0;text-align:left;margin-left:0;margin-top:0;width:70.25pt;height:21.5pt;z-index:25165825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5AA2A995" w14:textId="324A473A" w:rsidR="002F2D7A" w:rsidRPr="002F2D7A" w:rsidRDefault="002F2D7A" w:rsidP="002F2D7A">
                    <w:pPr>
                      <w:jc w:val="center"/>
                      <w:rPr>
                        <w:b/>
                        <w:color w:val="FF0000"/>
                        <w:sz w:val="24"/>
                      </w:rPr>
                    </w:pPr>
                    <w:r w:rsidRPr="002F2D7A">
                      <w:rPr>
                        <w:b/>
                        <w:color w:val="FF0000"/>
                        <w:sz w:val="24"/>
                      </w:rPr>
                      <w:fldChar w:fldCharType="begin"/>
                    </w:r>
                    <w:r w:rsidRPr="002F2D7A">
                      <w:rPr>
                        <w:b/>
                        <w:color w:val="FF0000"/>
                        <w:sz w:val="24"/>
                      </w:rPr>
                      <w:instrText xml:space="preserve"> DOCPROPERTY PM_ProtectiveMarkingValue_Footer \* MERGEFORMAT </w:instrText>
                    </w:r>
                    <w:r w:rsidRPr="002F2D7A">
                      <w:rPr>
                        <w:b/>
                        <w:color w:val="FF0000"/>
                        <w:sz w:val="24"/>
                      </w:rPr>
                      <w:fldChar w:fldCharType="separate"/>
                    </w:r>
                    <w:r w:rsidR="00A70646">
                      <w:rPr>
                        <w:b/>
                        <w:color w:val="FF0000"/>
                        <w:sz w:val="24"/>
                      </w:rPr>
                      <w:t>UNOFFICIAL</w:t>
                    </w:r>
                    <w:r w:rsidRPr="002F2D7A">
                      <w:rPr>
                        <w:b/>
                        <w:color w:val="FF0000"/>
                        <w:sz w:val="24"/>
                      </w:rPr>
                      <w:fldChar w:fldCharType="end"/>
                    </w:r>
                  </w:p>
                </w:txbxContent>
              </v:textbox>
              <w10:wrap anchorx="margin" anchory="margin"/>
              <w10:anchorlock/>
            </v:shape>
          </w:pict>
        </mc:Fallback>
      </mc:AlternateContent>
    </w:r>
    <w:r w:rsidR="00667E28">
      <w:rPr>
        <w:noProof/>
      </w:rPr>
      <mc:AlternateContent>
        <mc:Choice Requires="wps">
          <w:drawing>
            <wp:anchor distT="0" distB="0" distL="114300" distR="114300" simplePos="0" relativeHeight="251658243" behindDoc="0" locked="1" layoutInCell="0" allowOverlap="1" wp14:anchorId="0C3AAA99" wp14:editId="58C935F0">
              <wp:simplePos x="0" y="0"/>
              <wp:positionH relativeFrom="margin">
                <wp:align>center</wp:align>
              </wp:positionH>
              <wp:positionV relativeFrom="bottomMargin">
                <wp:align>center</wp:align>
              </wp:positionV>
              <wp:extent cx="89217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5A57E" w14:textId="70D11697" w:rsidR="00667E28" w:rsidRPr="00AD13FD" w:rsidRDefault="00A93B5D" w:rsidP="00AD13FD">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sidR="00A70646">
                            <w:rPr>
                              <w:rFonts w:cs="Arial"/>
                              <w:b/>
                              <w:color w:val="FF0000"/>
                              <w:sz w:val="24"/>
                            </w:rPr>
                            <w:t>UNOFFICIAL</w:t>
                          </w:r>
                          <w:r>
                            <w:rPr>
                              <w:rFonts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3AAA99" id="Text Box 9" o:spid="_x0000_s1038"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hM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lUZhMGQIAADEEAAAOAAAAAAAAAAAAAAAAAC4CAABkcnMvZTJvRG9jLnhtbFBLAQItABQABgAI&#10;AAAAIQBpOk852wAAAAQBAAAPAAAAAAAAAAAAAAAAAHMEAABkcnMvZG93bnJldi54bWxQSwUGAAAA&#10;AAQABADzAAAAewUAAAAA&#10;" o:allowincell="f" filled="f" stroked="f" strokeweight=".5pt">
              <v:textbox style="mso-fit-shape-to-text:t">
                <w:txbxContent>
                  <w:p w14:paraId="64B5A57E" w14:textId="70D11697" w:rsidR="00667E28" w:rsidRPr="00AD13FD" w:rsidRDefault="00A93B5D" w:rsidP="00AD13FD">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sidR="00A70646">
                      <w:rPr>
                        <w:rFonts w:cs="Arial"/>
                        <w:b/>
                        <w:color w:val="FF0000"/>
                        <w:sz w:val="24"/>
                      </w:rPr>
                      <w:t>UNOFFICIAL</w:t>
                    </w:r>
                    <w:r>
                      <w:rPr>
                        <w:rFonts w:cs="Arial"/>
                        <w:b/>
                        <w:color w:val="FF0000"/>
                        <w:sz w:val="24"/>
                      </w:rPr>
                      <w:fldChar w:fldCharType="end"/>
                    </w:r>
                  </w:p>
                </w:txbxContent>
              </v:textbox>
              <w10:wrap anchorx="margin" anchory="margin"/>
              <w10:anchorlock/>
            </v:shape>
          </w:pict>
        </mc:Fallback>
      </mc:AlternateContent>
    </w:r>
    <w:r w:rsidR="00C92452">
      <w:fldChar w:fldCharType="begin" w:fldLock="1"/>
    </w:r>
    <w:r w:rsidR="00C92452">
      <w:instrText xml:space="preserve"> DOCPROPERTY bjFooterFirstPageDocProperty \* MERGEFORMAT </w:instrText>
    </w:r>
    <w:r w:rsidR="00C92452">
      <w:fldChar w:fldCharType="separate"/>
    </w:r>
  </w:p>
  <w:p w14:paraId="44C91A80" w14:textId="77777777" w:rsidR="000D02A2" w:rsidRPr="00C92452" w:rsidRDefault="00C92452" w:rsidP="00C92452">
    <w:pPr>
      <w:pStyle w:val="Footer"/>
      <w:jc w:val="center"/>
    </w:pPr>
    <w:r w:rsidRPr="00C92452">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4E0B" w14:textId="77777777" w:rsidR="009F60CE" w:rsidRDefault="009F60CE">
      <w:r>
        <w:separator/>
      </w:r>
    </w:p>
  </w:footnote>
  <w:footnote w:type="continuationSeparator" w:id="0">
    <w:p w14:paraId="14BC1499" w14:textId="77777777" w:rsidR="009F60CE" w:rsidRDefault="009F60CE">
      <w:r>
        <w:continuationSeparator/>
      </w:r>
    </w:p>
  </w:footnote>
  <w:footnote w:type="continuationNotice" w:id="1">
    <w:p w14:paraId="52BA5B10" w14:textId="77777777" w:rsidR="009F60CE" w:rsidRDefault="009F60CE"/>
  </w:footnote>
  <w:footnote w:id="2">
    <w:p w14:paraId="4196CD05" w14:textId="77777777" w:rsidR="00C4253D" w:rsidRPr="00C921EC" w:rsidRDefault="00C4253D">
      <w:pPr>
        <w:pStyle w:val="FootnoteText"/>
        <w:rPr>
          <w:rFonts w:cs="Arial"/>
          <w:sz w:val="18"/>
          <w:szCs w:val="18"/>
        </w:rPr>
      </w:pPr>
      <w:r>
        <w:rPr>
          <w:rStyle w:val="FootnoteReference"/>
        </w:rPr>
        <w:footnoteRef/>
      </w:r>
      <w:r>
        <w:t xml:space="preserve"> </w:t>
      </w:r>
      <w:r w:rsidRPr="00C921EC">
        <w:rPr>
          <w:rFonts w:cs="Arial"/>
          <w:sz w:val="18"/>
          <w:szCs w:val="18"/>
        </w:rPr>
        <w:t>Formerly referred to as the Australia and New Zealand Ministerial Forum on Food Regulation</w:t>
      </w:r>
    </w:p>
  </w:footnote>
  <w:footnote w:id="3">
    <w:p w14:paraId="2D3B278A" w14:textId="5D2C46C7" w:rsidR="00E77262" w:rsidRPr="000E230A" w:rsidRDefault="00E77262">
      <w:pPr>
        <w:pStyle w:val="FootnoteText"/>
        <w:rPr>
          <w:lang w:val="en-AU"/>
        </w:rPr>
      </w:pPr>
      <w:r>
        <w:rPr>
          <w:rStyle w:val="FootnoteReference"/>
        </w:rPr>
        <w:footnoteRef/>
      </w:r>
      <w:r>
        <w:t xml:space="preserve"> </w:t>
      </w:r>
      <w:r w:rsidR="002169FF" w:rsidRPr="00CD6539">
        <w:rPr>
          <w:rFonts w:cs="Arial"/>
          <w:sz w:val="18"/>
          <w:szCs w:val="18"/>
        </w:rPr>
        <w:t>Section 2.1.1—4 of the Code provides that section 2.1.1—5 does not apply to certain foods</w:t>
      </w:r>
      <w:r w:rsidR="002169FF">
        <w:rPr>
          <w:rFonts w:cs="Arial"/>
          <w:sz w:val="18"/>
          <w:szCs w:val="18"/>
        </w:rPr>
        <w:t>,</w:t>
      </w:r>
      <w:r w:rsidR="002169FF" w:rsidRPr="00CD6539">
        <w:rPr>
          <w:rFonts w:cs="Arial"/>
          <w:sz w:val="18"/>
          <w:szCs w:val="18"/>
        </w:rPr>
        <w:t xml:space="preserve"> including bread that is represented as organic</w:t>
      </w:r>
      <w:r w:rsidR="002169FF">
        <w:rPr>
          <w:rFonts w:cs="Arial"/>
        </w:rPr>
        <w:t>.</w:t>
      </w:r>
    </w:p>
  </w:footnote>
  <w:footnote w:id="4">
    <w:p w14:paraId="6B1C327D" w14:textId="4AFA55F0" w:rsidR="000E230A" w:rsidRPr="000E230A" w:rsidRDefault="000E230A">
      <w:pPr>
        <w:pStyle w:val="FootnoteText"/>
        <w:rPr>
          <w:lang w:val="en-AU"/>
        </w:rPr>
      </w:pPr>
      <w:r>
        <w:rPr>
          <w:rStyle w:val="FootnoteReference"/>
        </w:rPr>
        <w:footnoteRef/>
      </w:r>
      <w:r>
        <w:t xml:space="preserve"> </w:t>
      </w:r>
      <w:r w:rsidR="002169FF" w:rsidRPr="00C33212">
        <w:rPr>
          <w:rFonts w:cs="Arial"/>
          <w:sz w:val="18"/>
          <w:szCs w:val="18"/>
        </w:rPr>
        <w:t>Section 2.1.1—4 of the Code provides that section 2.1.1—5 does not apply to certain foods</w:t>
      </w:r>
      <w:r w:rsidR="002169FF">
        <w:rPr>
          <w:rFonts w:cs="Arial"/>
          <w:sz w:val="18"/>
          <w:szCs w:val="18"/>
        </w:rPr>
        <w:t>,</w:t>
      </w:r>
      <w:r w:rsidR="002169FF" w:rsidRPr="00C33212">
        <w:rPr>
          <w:rFonts w:cs="Arial"/>
          <w:sz w:val="18"/>
          <w:szCs w:val="18"/>
        </w:rPr>
        <w:t xml:space="preserve"> including bread that is represented as organic</w:t>
      </w:r>
      <w:r w:rsidR="00BA2979">
        <w:rPr>
          <w:rFonts w:cs="Arial"/>
          <w:sz w:val="18"/>
          <w:szCs w:val="18"/>
        </w:rPr>
        <w:t>.</w:t>
      </w:r>
      <w:r w:rsidR="002169FF" w:rsidRPr="00407F4A" w:rsidDel="002169FF">
        <w:rPr>
          <w:lang w:val="en-AU"/>
        </w:rPr>
        <w:t xml:space="preserve"> </w:t>
      </w:r>
    </w:p>
  </w:footnote>
  <w:footnote w:id="5">
    <w:p w14:paraId="57C57A7E" w14:textId="630F42F5" w:rsidR="00381550" w:rsidRPr="00381550" w:rsidRDefault="00381550">
      <w:pPr>
        <w:pStyle w:val="FootnoteText"/>
        <w:rPr>
          <w:lang w:val="en-AU"/>
        </w:rPr>
      </w:pPr>
      <w:r>
        <w:rPr>
          <w:rStyle w:val="FootnoteReference"/>
        </w:rPr>
        <w:footnoteRef/>
      </w:r>
      <w:r>
        <w:t xml:space="preserve"> </w:t>
      </w:r>
      <w:r w:rsidR="00040603" w:rsidRPr="005B0640">
        <w:rPr>
          <w:rFonts w:cs="Arial"/>
          <w:sz w:val="18"/>
          <w:szCs w:val="18"/>
        </w:rPr>
        <w:t>As explained above, s</w:t>
      </w:r>
      <w:r w:rsidR="00040603" w:rsidRPr="00C33212">
        <w:rPr>
          <w:rFonts w:cs="Arial"/>
          <w:sz w:val="18"/>
          <w:szCs w:val="18"/>
        </w:rPr>
        <w:t>ection 2.1.1—4 of the Code provides that section 2.1.1—5 does not apply to certain foods</w:t>
      </w:r>
      <w:r w:rsidR="00040603">
        <w:rPr>
          <w:rFonts w:cs="Arial"/>
          <w:sz w:val="18"/>
          <w:szCs w:val="18"/>
        </w:rPr>
        <w:t>,</w:t>
      </w:r>
      <w:r w:rsidR="00040603" w:rsidRPr="00C33212">
        <w:rPr>
          <w:rFonts w:cs="Arial"/>
          <w:sz w:val="18"/>
          <w:szCs w:val="18"/>
        </w:rPr>
        <w:t xml:space="preserve"> including bread that is represented as organic</w:t>
      </w:r>
      <w:r w:rsidRPr="00E77262">
        <w:rPr>
          <w:lang w:val="en-AU"/>
        </w:rPr>
        <w:t>.</w:t>
      </w:r>
    </w:p>
  </w:footnote>
  <w:footnote w:id="6">
    <w:p w14:paraId="48DB5FFE" w14:textId="617C812A" w:rsidR="00A66656" w:rsidRPr="00A66656" w:rsidRDefault="00A66656">
      <w:pPr>
        <w:pStyle w:val="FootnoteText"/>
        <w:rPr>
          <w:lang w:val="en-AU"/>
        </w:rPr>
      </w:pPr>
      <w:r>
        <w:rPr>
          <w:rStyle w:val="FootnoteReference"/>
        </w:rPr>
        <w:footnoteRef/>
      </w:r>
      <w:r>
        <w:t xml:space="preserve"> </w:t>
      </w:r>
      <w:r w:rsidR="00F41612" w:rsidRPr="00DB1A63">
        <w:rPr>
          <w:rFonts w:cs="Arial"/>
          <w:sz w:val="18"/>
          <w:szCs w:val="18"/>
        </w:rPr>
        <w:t xml:space="preserve">See note </w:t>
      </w:r>
      <w:r w:rsidR="00040603" w:rsidRPr="00DB1A63">
        <w:rPr>
          <w:rFonts w:cs="Arial"/>
          <w:sz w:val="18"/>
          <w:szCs w:val="18"/>
        </w:rPr>
        <w:t>4</w:t>
      </w:r>
      <w:r w:rsidRPr="00DB1A63">
        <w:rPr>
          <w:rFonts w:cs="Arial"/>
          <w:sz w:val="18"/>
          <w:szCs w:val="18"/>
        </w:rPr>
        <w:t>.</w:t>
      </w:r>
    </w:p>
  </w:footnote>
  <w:footnote w:id="7">
    <w:p w14:paraId="663D5A82" w14:textId="21AC1D1B" w:rsidR="00CB09A6" w:rsidRPr="00CB09A6" w:rsidRDefault="00CB09A6">
      <w:pPr>
        <w:pStyle w:val="FootnoteText"/>
        <w:rPr>
          <w:lang w:val="en-AU"/>
        </w:rPr>
      </w:pPr>
      <w:r>
        <w:rPr>
          <w:rStyle w:val="FootnoteReference"/>
        </w:rPr>
        <w:footnoteRef/>
      </w:r>
      <w:r>
        <w:t xml:space="preserve"> </w:t>
      </w:r>
      <w:r w:rsidR="0055542D" w:rsidRPr="0085473E">
        <w:rPr>
          <w:rFonts w:cs="Arial"/>
          <w:sz w:val="18"/>
          <w:szCs w:val="18"/>
        </w:rPr>
        <w:t>See note 3</w:t>
      </w:r>
      <w:r w:rsidRPr="0085473E">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01B8" w14:textId="6715A7C2" w:rsidR="00C92452" w:rsidRPr="00C92452" w:rsidRDefault="00667F81" w:rsidP="00C92452">
    <w:pPr>
      <w:pStyle w:val="Header"/>
      <w:jc w:val="center"/>
      <w:rPr>
        <w:rFonts w:ascii="Calibri" w:hAnsi="Calibri" w:cs="Calibri"/>
        <w:b/>
        <w:color w:val="F00000"/>
        <w:sz w:val="24"/>
      </w:rPr>
    </w:pPr>
    <w:r>
      <w:rPr>
        <w:noProof/>
      </w:rPr>
      <mc:AlternateContent>
        <mc:Choice Requires="wps">
          <w:drawing>
            <wp:anchor distT="0" distB="0" distL="114300" distR="114300" simplePos="0" relativeHeight="251658254" behindDoc="0" locked="1" layoutInCell="0" allowOverlap="1" wp14:anchorId="41F11E79" wp14:editId="60196CF1">
              <wp:simplePos x="0" y="0"/>
              <wp:positionH relativeFrom="margin">
                <wp:align>center</wp:align>
              </wp:positionH>
              <wp:positionV relativeFrom="topMargin">
                <wp:align>center</wp:align>
              </wp:positionV>
              <wp:extent cx="892175" cy="2730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6516D" w14:textId="4DE416BC" w:rsidR="00667F81" w:rsidRPr="00667F81" w:rsidRDefault="00667F81" w:rsidP="00667F81">
                          <w:pPr>
                            <w:jc w:val="center"/>
                            <w:rPr>
                              <w:b/>
                              <w:color w:val="FF0000"/>
                              <w:sz w:val="24"/>
                            </w:rPr>
                          </w:pPr>
                          <w:r w:rsidRPr="00667F81">
                            <w:rPr>
                              <w:b/>
                              <w:color w:val="FF0000"/>
                              <w:sz w:val="24"/>
                            </w:rPr>
                            <w:fldChar w:fldCharType="begin"/>
                          </w:r>
                          <w:r w:rsidRPr="00667F81">
                            <w:rPr>
                              <w:b/>
                              <w:color w:val="FF0000"/>
                              <w:sz w:val="24"/>
                            </w:rPr>
                            <w:instrText xml:space="preserve"> DOCPROPERTY PM_ProtectiveMarkingValue_Header \* MERGEFORMAT </w:instrText>
                          </w:r>
                          <w:r w:rsidRPr="00667F81">
                            <w:rPr>
                              <w:b/>
                              <w:color w:val="FF0000"/>
                              <w:sz w:val="24"/>
                            </w:rPr>
                            <w:fldChar w:fldCharType="separate"/>
                          </w:r>
                          <w:r w:rsidR="00A70646">
                            <w:rPr>
                              <w:b/>
                              <w:color w:val="FF0000"/>
                              <w:sz w:val="24"/>
                            </w:rPr>
                            <w:t>UNOFFICIAL</w:t>
                          </w:r>
                          <w:r w:rsidRPr="00667F8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F11E79" id="_x0000_t202" coordsize="21600,21600" o:spt="202" path="m,l,21600r21600,l21600,xe">
              <v:stroke joinstyle="miter"/>
              <v:path gradientshapeok="t" o:connecttype="rect"/>
            </v:shapetype>
            <v:shape id="Text Box 19" o:spid="_x0000_s1026" type="#_x0000_t202" style="position:absolute;left:0;text-align:left;margin-left:0;margin-top:0;width:70.25pt;height:21.5pt;z-index:25165825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3736516D" w14:textId="4DE416BC" w:rsidR="00667F81" w:rsidRPr="00667F81" w:rsidRDefault="00667F81" w:rsidP="00667F81">
                    <w:pPr>
                      <w:jc w:val="center"/>
                      <w:rPr>
                        <w:b/>
                        <w:color w:val="FF0000"/>
                        <w:sz w:val="24"/>
                      </w:rPr>
                    </w:pPr>
                    <w:r w:rsidRPr="00667F81">
                      <w:rPr>
                        <w:b/>
                        <w:color w:val="FF0000"/>
                        <w:sz w:val="24"/>
                      </w:rPr>
                      <w:fldChar w:fldCharType="begin"/>
                    </w:r>
                    <w:r w:rsidRPr="00667F81">
                      <w:rPr>
                        <w:b/>
                        <w:color w:val="FF0000"/>
                        <w:sz w:val="24"/>
                      </w:rPr>
                      <w:instrText xml:space="preserve"> DOCPROPERTY PM_ProtectiveMarkingValue_Header \* MERGEFORMAT </w:instrText>
                    </w:r>
                    <w:r w:rsidRPr="00667F81">
                      <w:rPr>
                        <w:b/>
                        <w:color w:val="FF0000"/>
                        <w:sz w:val="24"/>
                      </w:rPr>
                      <w:fldChar w:fldCharType="separate"/>
                    </w:r>
                    <w:r w:rsidR="00A70646">
                      <w:rPr>
                        <w:b/>
                        <w:color w:val="FF0000"/>
                        <w:sz w:val="24"/>
                      </w:rPr>
                      <w:t>UNOFFICIAL</w:t>
                    </w:r>
                    <w:r w:rsidRPr="00667F81">
                      <w:rPr>
                        <w:b/>
                        <w:color w:val="FF0000"/>
                        <w:sz w:val="24"/>
                      </w:rPr>
                      <w:fldChar w:fldCharType="end"/>
                    </w:r>
                  </w:p>
                </w:txbxContent>
              </v:textbox>
              <w10:wrap anchorx="margin" anchory="margin"/>
              <w10:anchorlock/>
            </v:shape>
          </w:pict>
        </mc:Fallback>
      </mc:AlternateContent>
    </w:r>
    <w:r w:rsidR="002F2D7A">
      <w:rPr>
        <w:noProof/>
      </w:rPr>
      <mc:AlternateContent>
        <mc:Choice Requires="wps">
          <w:drawing>
            <wp:anchor distT="0" distB="0" distL="114300" distR="114300" simplePos="0" relativeHeight="251658248" behindDoc="0" locked="1" layoutInCell="0" allowOverlap="1" wp14:anchorId="00464923" wp14:editId="5D6B68EF">
              <wp:simplePos x="0" y="0"/>
              <wp:positionH relativeFrom="margin">
                <wp:align>center</wp:align>
              </wp:positionH>
              <wp:positionV relativeFrom="topMargin">
                <wp:align>center</wp:align>
              </wp:positionV>
              <wp:extent cx="892175" cy="2730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83F82" w14:textId="06F9BB56" w:rsidR="002F2D7A" w:rsidRPr="002F2D7A" w:rsidRDefault="002F2D7A" w:rsidP="002F2D7A">
                          <w:pPr>
                            <w:jc w:val="center"/>
                            <w:rPr>
                              <w:b/>
                              <w:color w:val="FF0000"/>
                              <w:sz w:val="24"/>
                            </w:rPr>
                          </w:pPr>
                          <w:r w:rsidRPr="002F2D7A">
                            <w:rPr>
                              <w:b/>
                              <w:color w:val="FF0000"/>
                              <w:sz w:val="24"/>
                            </w:rPr>
                            <w:fldChar w:fldCharType="begin"/>
                          </w:r>
                          <w:r w:rsidRPr="002F2D7A">
                            <w:rPr>
                              <w:b/>
                              <w:color w:val="FF0000"/>
                              <w:sz w:val="24"/>
                            </w:rPr>
                            <w:instrText xml:space="preserve"> DOCPROPERTY PM_ProtectiveMarkingValue_Header \* MERGEFORMAT </w:instrText>
                          </w:r>
                          <w:r w:rsidRPr="002F2D7A">
                            <w:rPr>
                              <w:b/>
                              <w:color w:val="FF0000"/>
                              <w:sz w:val="24"/>
                            </w:rPr>
                            <w:fldChar w:fldCharType="separate"/>
                          </w:r>
                          <w:r w:rsidR="00A70646">
                            <w:rPr>
                              <w:b/>
                              <w:color w:val="FF0000"/>
                              <w:sz w:val="24"/>
                            </w:rPr>
                            <w:t>UNOFFICIAL</w:t>
                          </w:r>
                          <w:r w:rsidRPr="002F2D7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464923" id="Text Box 13" o:spid="_x0000_s1027" type="#_x0000_t202" style="position:absolute;left:0;text-align:left;margin-left:0;margin-top:0;width:70.25pt;height:21.5pt;z-index:2516582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4D083F82" w14:textId="06F9BB56" w:rsidR="002F2D7A" w:rsidRPr="002F2D7A" w:rsidRDefault="002F2D7A" w:rsidP="002F2D7A">
                    <w:pPr>
                      <w:jc w:val="center"/>
                      <w:rPr>
                        <w:b/>
                        <w:color w:val="FF0000"/>
                        <w:sz w:val="24"/>
                      </w:rPr>
                    </w:pPr>
                    <w:r w:rsidRPr="002F2D7A">
                      <w:rPr>
                        <w:b/>
                        <w:color w:val="FF0000"/>
                        <w:sz w:val="24"/>
                      </w:rPr>
                      <w:fldChar w:fldCharType="begin"/>
                    </w:r>
                    <w:r w:rsidRPr="002F2D7A">
                      <w:rPr>
                        <w:b/>
                        <w:color w:val="FF0000"/>
                        <w:sz w:val="24"/>
                      </w:rPr>
                      <w:instrText xml:space="preserve"> DOCPROPERTY PM_ProtectiveMarkingValue_Header \* MERGEFORMAT </w:instrText>
                    </w:r>
                    <w:r w:rsidRPr="002F2D7A">
                      <w:rPr>
                        <w:b/>
                        <w:color w:val="FF0000"/>
                        <w:sz w:val="24"/>
                      </w:rPr>
                      <w:fldChar w:fldCharType="separate"/>
                    </w:r>
                    <w:r w:rsidR="00A70646">
                      <w:rPr>
                        <w:b/>
                        <w:color w:val="FF0000"/>
                        <w:sz w:val="24"/>
                      </w:rPr>
                      <w:t>UNOFFICIAL</w:t>
                    </w:r>
                    <w:r w:rsidRPr="002F2D7A">
                      <w:rPr>
                        <w:b/>
                        <w:color w:val="FF0000"/>
                        <w:sz w:val="24"/>
                      </w:rPr>
                      <w:fldChar w:fldCharType="end"/>
                    </w:r>
                  </w:p>
                </w:txbxContent>
              </v:textbox>
              <w10:wrap anchorx="margin" anchory="margin"/>
              <w10:anchorlock/>
            </v:shape>
          </w:pict>
        </mc:Fallback>
      </mc:AlternateContent>
    </w:r>
    <w:r w:rsidR="00667E28">
      <w:rPr>
        <w:noProof/>
      </w:rPr>
      <mc:AlternateContent>
        <mc:Choice Requires="wps">
          <w:drawing>
            <wp:anchor distT="0" distB="0" distL="114300" distR="114300" simplePos="0" relativeHeight="251658241" behindDoc="0" locked="1" layoutInCell="0" allowOverlap="1" wp14:anchorId="5F198802" wp14:editId="7728EFBD">
              <wp:simplePos x="0" y="0"/>
              <wp:positionH relativeFrom="margin">
                <wp:align>center</wp:align>
              </wp:positionH>
              <wp:positionV relativeFrom="top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4C1B1" w14:textId="208C967B" w:rsidR="00667E28" w:rsidRPr="00AD13FD" w:rsidRDefault="00667E28" w:rsidP="00AD13FD">
                          <w:pPr>
                            <w:jc w:val="center"/>
                            <w:rPr>
                              <w:rFonts w:cs="Arial"/>
                              <w:b/>
                              <w:color w:val="FF0000"/>
                              <w:sz w:val="24"/>
                            </w:rPr>
                          </w:pPr>
                          <w:r w:rsidRPr="00AD13FD">
                            <w:rPr>
                              <w:rFonts w:cs="Arial"/>
                              <w:b/>
                              <w:color w:val="FF0000"/>
                              <w:sz w:val="24"/>
                            </w:rPr>
                            <w:fldChar w:fldCharType="begin"/>
                          </w:r>
                          <w:r w:rsidRPr="00AD13FD">
                            <w:rPr>
                              <w:rFonts w:cs="Arial"/>
                              <w:b/>
                              <w:color w:val="FF0000"/>
                              <w:sz w:val="24"/>
                            </w:rPr>
                            <w:instrText xml:space="preserve"> DOCPROPERTY PM_ProtectiveMarkingValue_Header \* MERGEFORMAT </w:instrText>
                          </w:r>
                          <w:r w:rsidRPr="00AD13FD">
                            <w:rPr>
                              <w:rFonts w:cs="Arial"/>
                              <w:b/>
                              <w:color w:val="FF0000"/>
                              <w:sz w:val="24"/>
                            </w:rPr>
                            <w:fldChar w:fldCharType="separate"/>
                          </w:r>
                          <w:r w:rsidR="00A70646">
                            <w:rPr>
                              <w:rFonts w:cs="Arial"/>
                              <w:b/>
                              <w:color w:val="FF0000"/>
                              <w:sz w:val="24"/>
                            </w:rPr>
                            <w:t>UNOFFICIAL</w:t>
                          </w:r>
                          <w:r w:rsidRPr="00AD13FD">
                            <w:rPr>
                              <w:rFonts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198802" id="Text Box 7" o:spid="_x0000_s1028" type="#_x0000_t202" style="position:absolute;left:0;text-align:left;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0A44C1B1" w14:textId="208C967B" w:rsidR="00667E28" w:rsidRPr="00AD13FD" w:rsidRDefault="00667E28" w:rsidP="00AD13FD">
                    <w:pPr>
                      <w:jc w:val="center"/>
                      <w:rPr>
                        <w:rFonts w:cs="Arial"/>
                        <w:b/>
                        <w:color w:val="FF0000"/>
                        <w:sz w:val="24"/>
                      </w:rPr>
                    </w:pPr>
                    <w:r w:rsidRPr="00AD13FD">
                      <w:rPr>
                        <w:rFonts w:cs="Arial"/>
                        <w:b/>
                        <w:color w:val="FF0000"/>
                        <w:sz w:val="24"/>
                      </w:rPr>
                      <w:fldChar w:fldCharType="begin"/>
                    </w:r>
                    <w:r w:rsidRPr="00AD13FD">
                      <w:rPr>
                        <w:rFonts w:cs="Arial"/>
                        <w:b/>
                        <w:color w:val="FF0000"/>
                        <w:sz w:val="24"/>
                      </w:rPr>
                      <w:instrText xml:space="preserve"> DOCPROPERTY PM_ProtectiveMarkingValue_Header \* MERGEFORMAT </w:instrText>
                    </w:r>
                    <w:r w:rsidRPr="00AD13FD">
                      <w:rPr>
                        <w:rFonts w:cs="Arial"/>
                        <w:b/>
                        <w:color w:val="FF0000"/>
                        <w:sz w:val="24"/>
                      </w:rPr>
                      <w:fldChar w:fldCharType="separate"/>
                    </w:r>
                    <w:r w:rsidR="00A70646">
                      <w:rPr>
                        <w:rFonts w:cs="Arial"/>
                        <w:b/>
                        <w:color w:val="FF0000"/>
                        <w:sz w:val="24"/>
                      </w:rPr>
                      <w:t>UNOFFICIAL</w:t>
                    </w:r>
                    <w:r w:rsidRPr="00AD13FD">
                      <w:rPr>
                        <w:rFonts w:cs="Arial"/>
                        <w:b/>
                        <w:color w:val="FF0000"/>
                        <w:sz w:val="24"/>
                      </w:rPr>
                      <w:fldChar w:fldCharType="end"/>
                    </w:r>
                  </w:p>
                </w:txbxContent>
              </v:textbox>
              <w10:wrap anchorx="margin" anchory="margin"/>
              <w10:anchorlock/>
            </v:shape>
          </w:pict>
        </mc:Fallback>
      </mc:AlternateContent>
    </w:r>
    <w:r w:rsidR="00C92452">
      <w:fldChar w:fldCharType="begin" w:fldLock="1"/>
    </w:r>
    <w:r w:rsidR="00C92452">
      <w:instrText xml:space="preserve"> DOCPROPERTY bjHeaderEvenPageDocProperty \* MERGEFORMAT </w:instrText>
    </w:r>
    <w:r w:rsidR="00C92452">
      <w:fldChar w:fldCharType="separate"/>
    </w:r>
    <w:r w:rsidR="00C92452" w:rsidRPr="00C92452">
      <w:rPr>
        <w:rFonts w:ascii="Calibri" w:hAnsi="Calibri" w:cs="Calibri"/>
        <w:b/>
        <w:color w:val="F00000"/>
        <w:sz w:val="24"/>
      </w:rPr>
      <w:t>OFFICIAL</w:t>
    </w:r>
  </w:p>
  <w:p w14:paraId="3E04E4E2" w14:textId="77777777" w:rsidR="000D02A2" w:rsidRPr="00C92452" w:rsidRDefault="00C92452" w:rsidP="00C92452">
    <w:pPr>
      <w:pStyle w:val="Header"/>
      <w:jc w:val="center"/>
    </w:pPr>
    <w:r w:rsidRPr="00C92452">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9D9F" w14:textId="07602048" w:rsidR="00B92501" w:rsidRPr="00C92452" w:rsidRDefault="00B92501" w:rsidP="00C9245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ED77" w14:textId="29C975D3" w:rsidR="00C92452" w:rsidRPr="00C92452" w:rsidRDefault="00667F81" w:rsidP="00C92452">
    <w:pPr>
      <w:pStyle w:val="Header"/>
      <w:jc w:val="center"/>
      <w:rPr>
        <w:rFonts w:ascii="Calibri" w:hAnsi="Calibri" w:cs="Calibri"/>
        <w:b/>
        <w:bCs/>
        <w:color w:val="F00000"/>
        <w:sz w:val="24"/>
      </w:rPr>
    </w:pPr>
    <w:r>
      <w:rPr>
        <w:b/>
        <w:bCs/>
        <w:noProof/>
      </w:rPr>
      <mc:AlternateContent>
        <mc:Choice Requires="wps">
          <w:drawing>
            <wp:anchor distT="0" distB="0" distL="114300" distR="114300" simplePos="0" relativeHeight="251658253" behindDoc="0" locked="1" layoutInCell="0" allowOverlap="1" wp14:anchorId="22BBD61B" wp14:editId="03D0B47B">
              <wp:simplePos x="0" y="0"/>
              <wp:positionH relativeFrom="margin">
                <wp:align>center</wp:align>
              </wp:positionH>
              <wp:positionV relativeFrom="topMargin">
                <wp:align>center</wp:align>
              </wp:positionV>
              <wp:extent cx="892175" cy="273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F1F35" w14:textId="2600919F" w:rsidR="00667F81" w:rsidRPr="00667F81" w:rsidRDefault="00667F81" w:rsidP="00667F81">
                          <w:pPr>
                            <w:jc w:val="center"/>
                            <w:rPr>
                              <w:b/>
                              <w:color w:val="FF0000"/>
                              <w:sz w:val="24"/>
                            </w:rPr>
                          </w:pPr>
                          <w:r w:rsidRPr="00667F81">
                            <w:rPr>
                              <w:b/>
                              <w:color w:val="FF0000"/>
                              <w:sz w:val="24"/>
                            </w:rPr>
                            <w:fldChar w:fldCharType="begin"/>
                          </w:r>
                          <w:r w:rsidRPr="00667F81">
                            <w:rPr>
                              <w:b/>
                              <w:color w:val="FF0000"/>
                              <w:sz w:val="24"/>
                            </w:rPr>
                            <w:instrText xml:space="preserve"> DOCPROPERTY PM_ProtectiveMarkingValue_Header \* MERGEFORMAT </w:instrText>
                          </w:r>
                          <w:r w:rsidRPr="00667F81">
                            <w:rPr>
                              <w:b/>
                              <w:color w:val="FF0000"/>
                              <w:sz w:val="24"/>
                            </w:rPr>
                            <w:fldChar w:fldCharType="separate"/>
                          </w:r>
                          <w:r w:rsidR="00A70646">
                            <w:rPr>
                              <w:b/>
                              <w:color w:val="FF0000"/>
                              <w:sz w:val="24"/>
                            </w:rPr>
                            <w:t>UNOFFICIAL</w:t>
                          </w:r>
                          <w:r w:rsidRPr="00667F8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BBD61B" id="_x0000_t202" coordsize="21600,21600" o:spt="202" path="m,l,21600r21600,l21600,xe">
              <v:stroke joinstyle="miter"/>
              <v:path gradientshapeok="t" o:connecttype="rect"/>
            </v:shapetype>
            <v:shape id="Text Box 18" o:spid="_x0000_s1033" type="#_x0000_t202" style="position:absolute;left:0;text-align:left;margin-left:0;margin-top:0;width:70.25pt;height:21.5pt;z-index:25165825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61BF1F35" w14:textId="2600919F" w:rsidR="00667F81" w:rsidRPr="00667F81" w:rsidRDefault="00667F81" w:rsidP="00667F81">
                    <w:pPr>
                      <w:jc w:val="center"/>
                      <w:rPr>
                        <w:b/>
                        <w:color w:val="FF0000"/>
                        <w:sz w:val="24"/>
                      </w:rPr>
                    </w:pPr>
                    <w:r w:rsidRPr="00667F81">
                      <w:rPr>
                        <w:b/>
                        <w:color w:val="FF0000"/>
                        <w:sz w:val="24"/>
                      </w:rPr>
                      <w:fldChar w:fldCharType="begin"/>
                    </w:r>
                    <w:r w:rsidRPr="00667F81">
                      <w:rPr>
                        <w:b/>
                        <w:color w:val="FF0000"/>
                        <w:sz w:val="24"/>
                      </w:rPr>
                      <w:instrText xml:space="preserve"> DOCPROPERTY PM_ProtectiveMarkingValue_Header \* MERGEFORMAT </w:instrText>
                    </w:r>
                    <w:r w:rsidRPr="00667F81">
                      <w:rPr>
                        <w:b/>
                        <w:color w:val="FF0000"/>
                        <w:sz w:val="24"/>
                      </w:rPr>
                      <w:fldChar w:fldCharType="separate"/>
                    </w:r>
                    <w:r w:rsidR="00A70646">
                      <w:rPr>
                        <w:b/>
                        <w:color w:val="FF0000"/>
                        <w:sz w:val="24"/>
                      </w:rPr>
                      <w:t>UNOFFICIAL</w:t>
                    </w:r>
                    <w:r w:rsidRPr="00667F81">
                      <w:rPr>
                        <w:b/>
                        <w:color w:val="FF0000"/>
                        <w:sz w:val="24"/>
                      </w:rPr>
                      <w:fldChar w:fldCharType="end"/>
                    </w:r>
                  </w:p>
                </w:txbxContent>
              </v:textbox>
              <w10:wrap anchorx="margin" anchory="margin"/>
              <w10:anchorlock/>
            </v:shape>
          </w:pict>
        </mc:Fallback>
      </mc:AlternateContent>
    </w:r>
    <w:r w:rsidR="002F2D7A">
      <w:rPr>
        <w:b/>
        <w:bCs/>
        <w:noProof/>
      </w:rPr>
      <mc:AlternateContent>
        <mc:Choice Requires="wps">
          <w:drawing>
            <wp:anchor distT="0" distB="0" distL="114300" distR="114300" simplePos="0" relativeHeight="251658247" behindDoc="0" locked="1" layoutInCell="0" allowOverlap="1" wp14:anchorId="4A09382C" wp14:editId="39333C91">
              <wp:simplePos x="0" y="0"/>
              <wp:positionH relativeFrom="margin">
                <wp:align>center</wp:align>
              </wp:positionH>
              <wp:positionV relativeFrom="topMargin">
                <wp:align>center</wp:align>
              </wp:positionV>
              <wp:extent cx="892175"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45D23" w14:textId="552B8B16" w:rsidR="002F2D7A" w:rsidRPr="002F2D7A" w:rsidRDefault="002F2D7A" w:rsidP="002F2D7A">
                          <w:pPr>
                            <w:jc w:val="center"/>
                            <w:rPr>
                              <w:b/>
                              <w:color w:val="FF0000"/>
                              <w:sz w:val="24"/>
                            </w:rPr>
                          </w:pPr>
                          <w:r w:rsidRPr="002F2D7A">
                            <w:rPr>
                              <w:b/>
                              <w:color w:val="FF0000"/>
                              <w:sz w:val="24"/>
                            </w:rPr>
                            <w:fldChar w:fldCharType="begin"/>
                          </w:r>
                          <w:r w:rsidRPr="002F2D7A">
                            <w:rPr>
                              <w:b/>
                              <w:color w:val="FF0000"/>
                              <w:sz w:val="24"/>
                            </w:rPr>
                            <w:instrText xml:space="preserve"> DOCPROPERTY PM_ProtectiveMarkingValue_Header \* MERGEFORMAT </w:instrText>
                          </w:r>
                          <w:r w:rsidRPr="002F2D7A">
                            <w:rPr>
                              <w:b/>
                              <w:color w:val="FF0000"/>
                              <w:sz w:val="24"/>
                            </w:rPr>
                            <w:fldChar w:fldCharType="separate"/>
                          </w:r>
                          <w:r w:rsidR="00A70646">
                            <w:rPr>
                              <w:b/>
                              <w:color w:val="FF0000"/>
                              <w:sz w:val="24"/>
                            </w:rPr>
                            <w:t>UNOFFICIAL</w:t>
                          </w:r>
                          <w:r w:rsidRPr="002F2D7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09382C" id="Text Box 12" o:spid="_x0000_s1034" type="#_x0000_t202" style="position:absolute;left:0;text-align:left;margin-left:0;margin-top:0;width:70.25pt;height:21.5pt;z-index:25165824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58245D23" w14:textId="552B8B16" w:rsidR="002F2D7A" w:rsidRPr="002F2D7A" w:rsidRDefault="002F2D7A" w:rsidP="002F2D7A">
                    <w:pPr>
                      <w:jc w:val="center"/>
                      <w:rPr>
                        <w:b/>
                        <w:color w:val="FF0000"/>
                        <w:sz w:val="24"/>
                      </w:rPr>
                    </w:pPr>
                    <w:r w:rsidRPr="002F2D7A">
                      <w:rPr>
                        <w:b/>
                        <w:color w:val="FF0000"/>
                        <w:sz w:val="24"/>
                      </w:rPr>
                      <w:fldChar w:fldCharType="begin"/>
                    </w:r>
                    <w:r w:rsidRPr="002F2D7A">
                      <w:rPr>
                        <w:b/>
                        <w:color w:val="FF0000"/>
                        <w:sz w:val="24"/>
                      </w:rPr>
                      <w:instrText xml:space="preserve"> DOCPROPERTY PM_ProtectiveMarkingValue_Header \* MERGEFORMAT </w:instrText>
                    </w:r>
                    <w:r w:rsidRPr="002F2D7A">
                      <w:rPr>
                        <w:b/>
                        <w:color w:val="FF0000"/>
                        <w:sz w:val="24"/>
                      </w:rPr>
                      <w:fldChar w:fldCharType="separate"/>
                    </w:r>
                    <w:r w:rsidR="00A70646">
                      <w:rPr>
                        <w:b/>
                        <w:color w:val="FF0000"/>
                        <w:sz w:val="24"/>
                      </w:rPr>
                      <w:t>UNOFFICIAL</w:t>
                    </w:r>
                    <w:r w:rsidRPr="002F2D7A">
                      <w:rPr>
                        <w:b/>
                        <w:color w:val="FF0000"/>
                        <w:sz w:val="24"/>
                      </w:rPr>
                      <w:fldChar w:fldCharType="end"/>
                    </w:r>
                  </w:p>
                </w:txbxContent>
              </v:textbox>
              <w10:wrap anchorx="margin" anchory="margin"/>
              <w10:anchorlock/>
            </v:shape>
          </w:pict>
        </mc:Fallback>
      </mc:AlternateContent>
    </w:r>
    <w:r w:rsidR="00667E28">
      <w:rPr>
        <w:b/>
        <w:bCs/>
        <w:noProof/>
      </w:rPr>
      <mc:AlternateContent>
        <mc:Choice Requires="wps">
          <w:drawing>
            <wp:anchor distT="0" distB="0" distL="114300" distR="114300" simplePos="0" relativeHeight="251658240" behindDoc="0" locked="1" layoutInCell="0" allowOverlap="1" wp14:anchorId="205D7C1D" wp14:editId="576B1CED">
              <wp:simplePos x="0" y="0"/>
              <wp:positionH relativeFrom="margin">
                <wp:align>center</wp:align>
              </wp:positionH>
              <wp:positionV relativeFrom="top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EFEB3" w14:textId="139B9FE9" w:rsidR="00667E28" w:rsidRPr="00AD13FD" w:rsidRDefault="00667E28" w:rsidP="00AD13FD">
                          <w:pPr>
                            <w:jc w:val="center"/>
                            <w:rPr>
                              <w:rFonts w:cs="Arial"/>
                              <w:b/>
                              <w:color w:val="FF0000"/>
                              <w:sz w:val="24"/>
                            </w:rPr>
                          </w:pPr>
                          <w:r w:rsidRPr="00AD13FD">
                            <w:rPr>
                              <w:rFonts w:cs="Arial"/>
                              <w:b/>
                              <w:color w:val="FF0000"/>
                              <w:sz w:val="24"/>
                            </w:rPr>
                            <w:fldChar w:fldCharType="begin"/>
                          </w:r>
                          <w:r w:rsidRPr="00AD13FD">
                            <w:rPr>
                              <w:rFonts w:cs="Arial"/>
                              <w:b/>
                              <w:color w:val="FF0000"/>
                              <w:sz w:val="24"/>
                            </w:rPr>
                            <w:instrText xml:space="preserve"> DOCPROPERTY PM_ProtectiveMarkingValue_Header \* MERGEFORMAT </w:instrText>
                          </w:r>
                          <w:r w:rsidRPr="00AD13FD">
                            <w:rPr>
                              <w:rFonts w:cs="Arial"/>
                              <w:b/>
                              <w:color w:val="FF0000"/>
                              <w:sz w:val="24"/>
                            </w:rPr>
                            <w:fldChar w:fldCharType="separate"/>
                          </w:r>
                          <w:r w:rsidR="00A70646">
                            <w:rPr>
                              <w:rFonts w:cs="Arial"/>
                              <w:b/>
                              <w:color w:val="FF0000"/>
                              <w:sz w:val="24"/>
                            </w:rPr>
                            <w:t>UNOFFICIAL</w:t>
                          </w:r>
                          <w:r w:rsidRPr="00AD13FD">
                            <w:rPr>
                              <w:rFonts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5D7C1D" id="Text Box 6" o:spid="_x0000_s1035"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329EFEB3" w14:textId="139B9FE9" w:rsidR="00667E28" w:rsidRPr="00AD13FD" w:rsidRDefault="00667E28" w:rsidP="00AD13FD">
                    <w:pPr>
                      <w:jc w:val="center"/>
                      <w:rPr>
                        <w:rFonts w:cs="Arial"/>
                        <w:b/>
                        <w:color w:val="FF0000"/>
                        <w:sz w:val="24"/>
                      </w:rPr>
                    </w:pPr>
                    <w:r w:rsidRPr="00AD13FD">
                      <w:rPr>
                        <w:rFonts w:cs="Arial"/>
                        <w:b/>
                        <w:color w:val="FF0000"/>
                        <w:sz w:val="24"/>
                      </w:rPr>
                      <w:fldChar w:fldCharType="begin"/>
                    </w:r>
                    <w:r w:rsidRPr="00AD13FD">
                      <w:rPr>
                        <w:rFonts w:cs="Arial"/>
                        <w:b/>
                        <w:color w:val="FF0000"/>
                        <w:sz w:val="24"/>
                      </w:rPr>
                      <w:instrText xml:space="preserve"> DOCPROPERTY PM_ProtectiveMarkingValue_Header \* MERGEFORMAT </w:instrText>
                    </w:r>
                    <w:r w:rsidRPr="00AD13FD">
                      <w:rPr>
                        <w:rFonts w:cs="Arial"/>
                        <w:b/>
                        <w:color w:val="FF0000"/>
                        <w:sz w:val="24"/>
                      </w:rPr>
                      <w:fldChar w:fldCharType="separate"/>
                    </w:r>
                    <w:r w:rsidR="00A70646">
                      <w:rPr>
                        <w:rFonts w:cs="Arial"/>
                        <w:b/>
                        <w:color w:val="FF0000"/>
                        <w:sz w:val="24"/>
                      </w:rPr>
                      <w:t>UNOFFICIAL</w:t>
                    </w:r>
                    <w:r w:rsidRPr="00AD13FD">
                      <w:rPr>
                        <w:rFonts w:cs="Arial"/>
                        <w:b/>
                        <w:color w:val="FF0000"/>
                        <w:sz w:val="24"/>
                      </w:rPr>
                      <w:fldChar w:fldCharType="end"/>
                    </w:r>
                  </w:p>
                </w:txbxContent>
              </v:textbox>
              <w10:wrap anchorx="margin" anchory="margin"/>
              <w10:anchorlock/>
            </v:shape>
          </w:pict>
        </mc:Fallback>
      </mc:AlternateContent>
    </w:r>
    <w:r w:rsidR="00C92452">
      <w:rPr>
        <w:b/>
        <w:bCs/>
      </w:rPr>
      <w:fldChar w:fldCharType="begin" w:fldLock="1"/>
    </w:r>
    <w:r w:rsidR="00C92452">
      <w:rPr>
        <w:b/>
        <w:bCs/>
      </w:rPr>
      <w:instrText xml:space="preserve"> DOCPROPERTY bjHeaderFirstPageDocProperty \* MERGEFORMAT </w:instrText>
    </w:r>
    <w:r w:rsidR="00C92452">
      <w:rPr>
        <w:b/>
        <w:bCs/>
      </w:rPr>
      <w:fldChar w:fldCharType="separate"/>
    </w:r>
    <w:r w:rsidR="00C92452" w:rsidRPr="00C92452">
      <w:rPr>
        <w:rFonts w:ascii="Calibri" w:hAnsi="Calibri" w:cs="Calibri"/>
        <w:b/>
        <w:bCs/>
        <w:color w:val="F00000"/>
        <w:sz w:val="24"/>
      </w:rPr>
      <w:t>OFFICIAL</w:t>
    </w:r>
  </w:p>
  <w:p w14:paraId="1E21A5FB" w14:textId="77777777" w:rsidR="00C92452" w:rsidRDefault="00C92452" w:rsidP="00C92452">
    <w:pPr>
      <w:pStyle w:val="Header"/>
      <w:jc w:val="center"/>
      <w:rPr>
        <w:b/>
        <w:bCs/>
      </w:rPr>
    </w:pPr>
    <w:r w:rsidRPr="00C92452">
      <w:rPr>
        <w:rFonts w:ascii="Calibri" w:hAnsi="Calibri" w:cs="Calibri"/>
        <w:b/>
        <w:bCs/>
        <w:color w:val="F00000"/>
        <w:sz w:val="24"/>
      </w:rPr>
      <w:t xml:space="preserve"> </w:t>
    </w:r>
    <w:r>
      <w:rPr>
        <w:b/>
        <w:bCs/>
      </w:rPr>
      <w:fldChar w:fldCharType="end"/>
    </w:r>
  </w:p>
  <w:p w14:paraId="0BE9470F" w14:textId="77777777" w:rsidR="00B92501" w:rsidRDefault="00B9250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E46"/>
    <w:multiLevelType w:val="hybridMultilevel"/>
    <w:tmpl w:val="EB6C4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8219A"/>
    <w:multiLevelType w:val="hybridMultilevel"/>
    <w:tmpl w:val="8CF8A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405ED0"/>
    <w:multiLevelType w:val="hybridMultilevel"/>
    <w:tmpl w:val="53F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261C"/>
    <w:multiLevelType w:val="hybridMultilevel"/>
    <w:tmpl w:val="7430D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70C4B4F"/>
    <w:multiLevelType w:val="hybridMultilevel"/>
    <w:tmpl w:val="A95A8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DD44EA"/>
    <w:multiLevelType w:val="hybridMultilevel"/>
    <w:tmpl w:val="2BE6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2E58B2"/>
    <w:multiLevelType w:val="hybridMultilevel"/>
    <w:tmpl w:val="C2003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E52CD8"/>
    <w:multiLevelType w:val="hybridMultilevel"/>
    <w:tmpl w:val="206C4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E56C03"/>
    <w:multiLevelType w:val="hybridMultilevel"/>
    <w:tmpl w:val="1436C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02651"/>
    <w:multiLevelType w:val="hybridMultilevel"/>
    <w:tmpl w:val="5FAE2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40696E"/>
    <w:multiLevelType w:val="hybridMultilevel"/>
    <w:tmpl w:val="9126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8B4E19"/>
    <w:multiLevelType w:val="hybridMultilevel"/>
    <w:tmpl w:val="D89EB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0386600">
    <w:abstractNumId w:val="4"/>
  </w:num>
  <w:num w:numId="2" w16cid:durableId="903295299">
    <w:abstractNumId w:val="2"/>
  </w:num>
  <w:num w:numId="3" w16cid:durableId="392658383">
    <w:abstractNumId w:val="6"/>
  </w:num>
  <w:num w:numId="4" w16cid:durableId="652563788">
    <w:abstractNumId w:val="14"/>
  </w:num>
  <w:num w:numId="5" w16cid:durableId="1497578072">
    <w:abstractNumId w:val="0"/>
  </w:num>
  <w:num w:numId="6" w16cid:durableId="886799303">
    <w:abstractNumId w:val="10"/>
  </w:num>
  <w:num w:numId="7" w16cid:durableId="379937280">
    <w:abstractNumId w:val="8"/>
  </w:num>
  <w:num w:numId="8" w16cid:durableId="1649508177">
    <w:abstractNumId w:val="7"/>
  </w:num>
  <w:num w:numId="9" w16cid:durableId="1654984225">
    <w:abstractNumId w:val="13"/>
  </w:num>
  <w:num w:numId="10" w16cid:durableId="1762406472">
    <w:abstractNumId w:val="1"/>
  </w:num>
  <w:num w:numId="11" w16cid:durableId="1930654210">
    <w:abstractNumId w:val="12"/>
  </w:num>
  <w:num w:numId="12" w16cid:durableId="1882092834">
    <w:abstractNumId w:val="11"/>
  </w:num>
  <w:num w:numId="13" w16cid:durableId="125857927">
    <w:abstractNumId w:val="9"/>
  </w:num>
  <w:num w:numId="14" w16cid:durableId="1439133623">
    <w:abstractNumId w:val="3"/>
  </w:num>
  <w:num w:numId="15" w16cid:durableId="56368756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DD"/>
    <w:rsid w:val="00000F5D"/>
    <w:rsid w:val="000013A9"/>
    <w:rsid w:val="00002300"/>
    <w:rsid w:val="0000247B"/>
    <w:rsid w:val="0000469B"/>
    <w:rsid w:val="00007875"/>
    <w:rsid w:val="00010E79"/>
    <w:rsid w:val="00011187"/>
    <w:rsid w:val="000125EC"/>
    <w:rsid w:val="000132C5"/>
    <w:rsid w:val="00014E34"/>
    <w:rsid w:val="00014F43"/>
    <w:rsid w:val="0001635C"/>
    <w:rsid w:val="00016AA2"/>
    <w:rsid w:val="000177DD"/>
    <w:rsid w:val="00025AF8"/>
    <w:rsid w:val="0002607E"/>
    <w:rsid w:val="000260DA"/>
    <w:rsid w:val="000332AE"/>
    <w:rsid w:val="00033D76"/>
    <w:rsid w:val="00035FF3"/>
    <w:rsid w:val="00040603"/>
    <w:rsid w:val="000418F0"/>
    <w:rsid w:val="00044015"/>
    <w:rsid w:val="000449A5"/>
    <w:rsid w:val="00046F65"/>
    <w:rsid w:val="00051021"/>
    <w:rsid w:val="000524F0"/>
    <w:rsid w:val="00052D54"/>
    <w:rsid w:val="00052E82"/>
    <w:rsid w:val="00055EEF"/>
    <w:rsid w:val="000576EB"/>
    <w:rsid w:val="00062B79"/>
    <w:rsid w:val="00064B2D"/>
    <w:rsid w:val="00065F1F"/>
    <w:rsid w:val="00066FDD"/>
    <w:rsid w:val="00070652"/>
    <w:rsid w:val="0007127C"/>
    <w:rsid w:val="00075F5B"/>
    <w:rsid w:val="00076D33"/>
    <w:rsid w:val="00076D3B"/>
    <w:rsid w:val="00077859"/>
    <w:rsid w:val="00077AEA"/>
    <w:rsid w:val="00081B0A"/>
    <w:rsid w:val="00083F13"/>
    <w:rsid w:val="000854F9"/>
    <w:rsid w:val="000870A4"/>
    <w:rsid w:val="00087393"/>
    <w:rsid w:val="00087BF7"/>
    <w:rsid w:val="000A0E8D"/>
    <w:rsid w:val="000A1312"/>
    <w:rsid w:val="000A22EA"/>
    <w:rsid w:val="000A3D8B"/>
    <w:rsid w:val="000A7B00"/>
    <w:rsid w:val="000B427A"/>
    <w:rsid w:val="000B4B66"/>
    <w:rsid w:val="000B56E9"/>
    <w:rsid w:val="000B6AF2"/>
    <w:rsid w:val="000B7A09"/>
    <w:rsid w:val="000C4E94"/>
    <w:rsid w:val="000C5EA8"/>
    <w:rsid w:val="000D02A2"/>
    <w:rsid w:val="000D13D3"/>
    <w:rsid w:val="000D2EFF"/>
    <w:rsid w:val="000D6A5A"/>
    <w:rsid w:val="000D6FD4"/>
    <w:rsid w:val="000D7B1C"/>
    <w:rsid w:val="000E02A6"/>
    <w:rsid w:val="000E0AE4"/>
    <w:rsid w:val="000E1EA4"/>
    <w:rsid w:val="000E230A"/>
    <w:rsid w:val="000E2E4E"/>
    <w:rsid w:val="000E3DBC"/>
    <w:rsid w:val="000E3E05"/>
    <w:rsid w:val="000E511F"/>
    <w:rsid w:val="000E51E4"/>
    <w:rsid w:val="000E662F"/>
    <w:rsid w:val="000E69F3"/>
    <w:rsid w:val="000F128D"/>
    <w:rsid w:val="000F3CFE"/>
    <w:rsid w:val="000F558F"/>
    <w:rsid w:val="000F6568"/>
    <w:rsid w:val="00101A3C"/>
    <w:rsid w:val="00102819"/>
    <w:rsid w:val="00104544"/>
    <w:rsid w:val="0010778D"/>
    <w:rsid w:val="0011038F"/>
    <w:rsid w:val="001122EC"/>
    <w:rsid w:val="00116C22"/>
    <w:rsid w:val="001229C4"/>
    <w:rsid w:val="0012388D"/>
    <w:rsid w:val="00126720"/>
    <w:rsid w:val="001333C0"/>
    <w:rsid w:val="00134395"/>
    <w:rsid w:val="001343DD"/>
    <w:rsid w:val="0013497A"/>
    <w:rsid w:val="0013657C"/>
    <w:rsid w:val="00136B57"/>
    <w:rsid w:val="0014755E"/>
    <w:rsid w:val="00150B54"/>
    <w:rsid w:val="0015187A"/>
    <w:rsid w:val="001532A6"/>
    <w:rsid w:val="00156364"/>
    <w:rsid w:val="00156607"/>
    <w:rsid w:val="0016259A"/>
    <w:rsid w:val="001638EB"/>
    <w:rsid w:val="00164397"/>
    <w:rsid w:val="001675E1"/>
    <w:rsid w:val="00167F09"/>
    <w:rsid w:val="0017000D"/>
    <w:rsid w:val="001707A9"/>
    <w:rsid w:val="00173F15"/>
    <w:rsid w:val="0017798B"/>
    <w:rsid w:val="00181B9D"/>
    <w:rsid w:val="00182C4C"/>
    <w:rsid w:val="001878C5"/>
    <w:rsid w:val="00191B24"/>
    <w:rsid w:val="00191B78"/>
    <w:rsid w:val="001937B0"/>
    <w:rsid w:val="0019399D"/>
    <w:rsid w:val="00197B98"/>
    <w:rsid w:val="00197B9F"/>
    <w:rsid w:val="00197D8D"/>
    <w:rsid w:val="00197E27"/>
    <w:rsid w:val="001A1A75"/>
    <w:rsid w:val="001A2FC8"/>
    <w:rsid w:val="001A36EE"/>
    <w:rsid w:val="001A48A0"/>
    <w:rsid w:val="001A5239"/>
    <w:rsid w:val="001A62A5"/>
    <w:rsid w:val="001A7E9A"/>
    <w:rsid w:val="001B4BE4"/>
    <w:rsid w:val="001B7398"/>
    <w:rsid w:val="001C27A3"/>
    <w:rsid w:val="001C2AD8"/>
    <w:rsid w:val="001C3F4E"/>
    <w:rsid w:val="001C60ED"/>
    <w:rsid w:val="001C65EB"/>
    <w:rsid w:val="001C7575"/>
    <w:rsid w:val="001D2F02"/>
    <w:rsid w:val="001D43F6"/>
    <w:rsid w:val="001D533E"/>
    <w:rsid w:val="001D7706"/>
    <w:rsid w:val="001E09FA"/>
    <w:rsid w:val="001E60CB"/>
    <w:rsid w:val="001E7CC6"/>
    <w:rsid w:val="001F3E90"/>
    <w:rsid w:val="001F6EC8"/>
    <w:rsid w:val="001F7F63"/>
    <w:rsid w:val="00201B3D"/>
    <w:rsid w:val="00201CC5"/>
    <w:rsid w:val="0020224A"/>
    <w:rsid w:val="00202A6F"/>
    <w:rsid w:val="00204C01"/>
    <w:rsid w:val="002070C3"/>
    <w:rsid w:val="00211C29"/>
    <w:rsid w:val="00214924"/>
    <w:rsid w:val="002153F1"/>
    <w:rsid w:val="0021687E"/>
    <w:rsid w:val="002169FF"/>
    <w:rsid w:val="0022094E"/>
    <w:rsid w:val="0022197C"/>
    <w:rsid w:val="00221D07"/>
    <w:rsid w:val="002226DC"/>
    <w:rsid w:val="0022456F"/>
    <w:rsid w:val="0022469F"/>
    <w:rsid w:val="00224710"/>
    <w:rsid w:val="00224E3B"/>
    <w:rsid w:val="00227E4A"/>
    <w:rsid w:val="00230175"/>
    <w:rsid w:val="00230873"/>
    <w:rsid w:val="00234C4B"/>
    <w:rsid w:val="0023711B"/>
    <w:rsid w:val="0023749B"/>
    <w:rsid w:val="00240321"/>
    <w:rsid w:val="002408F6"/>
    <w:rsid w:val="002421C1"/>
    <w:rsid w:val="002438D1"/>
    <w:rsid w:val="00243A4B"/>
    <w:rsid w:val="0024615B"/>
    <w:rsid w:val="00250197"/>
    <w:rsid w:val="0025114C"/>
    <w:rsid w:val="0025436E"/>
    <w:rsid w:val="00257B74"/>
    <w:rsid w:val="00260DAA"/>
    <w:rsid w:val="00261069"/>
    <w:rsid w:val="00263434"/>
    <w:rsid w:val="0026387E"/>
    <w:rsid w:val="002650F2"/>
    <w:rsid w:val="00265AFE"/>
    <w:rsid w:val="002726B4"/>
    <w:rsid w:val="002733B5"/>
    <w:rsid w:val="0027351D"/>
    <w:rsid w:val="002756A5"/>
    <w:rsid w:val="002758A0"/>
    <w:rsid w:val="00277340"/>
    <w:rsid w:val="002845EF"/>
    <w:rsid w:val="00285F18"/>
    <w:rsid w:val="0028661A"/>
    <w:rsid w:val="00290DB9"/>
    <w:rsid w:val="00291AF4"/>
    <w:rsid w:val="0029204E"/>
    <w:rsid w:val="002922C3"/>
    <w:rsid w:val="00292B9B"/>
    <w:rsid w:val="00292BAA"/>
    <w:rsid w:val="00296920"/>
    <w:rsid w:val="00297DA1"/>
    <w:rsid w:val="002A0194"/>
    <w:rsid w:val="002A043E"/>
    <w:rsid w:val="002A2CF8"/>
    <w:rsid w:val="002A5136"/>
    <w:rsid w:val="002A5F8B"/>
    <w:rsid w:val="002A7F6C"/>
    <w:rsid w:val="002B0071"/>
    <w:rsid w:val="002B2C5D"/>
    <w:rsid w:val="002B4486"/>
    <w:rsid w:val="002B6DD4"/>
    <w:rsid w:val="002C022A"/>
    <w:rsid w:val="002C1A3B"/>
    <w:rsid w:val="002C7496"/>
    <w:rsid w:val="002D0F0B"/>
    <w:rsid w:val="002E05F9"/>
    <w:rsid w:val="002E165F"/>
    <w:rsid w:val="002E16D5"/>
    <w:rsid w:val="002E1820"/>
    <w:rsid w:val="002E2A15"/>
    <w:rsid w:val="002E41F3"/>
    <w:rsid w:val="002E5039"/>
    <w:rsid w:val="002E7989"/>
    <w:rsid w:val="002F0432"/>
    <w:rsid w:val="002F2603"/>
    <w:rsid w:val="002F2D7A"/>
    <w:rsid w:val="002F35EA"/>
    <w:rsid w:val="002F6488"/>
    <w:rsid w:val="002F69D4"/>
    <w:rsid w:val="00301242"/>
    <w:rsid w:val="003012B6"/>
    <w:rsid w:val="00302CCE"/>
    <w:rsid w:val="00305069"/>
    <w:rsid w:val="003058F9"/>
    <w:rsid w:val="00305C54"/>
    <w:rsid w:val="0031016C"/>
    <w:rsid w:val="00313A34"/>
    <w:rsid w:val="00313F52"/>
    <w:rsid w:val="0031426B"/>
    <w:rsid w:val="003147DD"/>
    <w:rsid w:val="00315F5E"/>
    <w:rsid w:val="003213F9"/>
    <w:rsid w:val="00323AB6"/>
    <w:rsid w:val="00323DBF"/>
    <w:rsid w:val="00324F7C"/>
    <w:rsid w:val="00326BC2"/>
    <w:rsid w:val="00327607"/>
    <w:rsid w:val="00327867"/>
    <w:rsid w:val="00332B12"/>
    <w:rsid w:val="003361CF"/>
    <w:rsid w:val="003379EF"/>
    <w:rsid w:val="00337CBC"/>
    <w:rsid w:val="003425C6"/>
    <w:rsid w:val="003428FC"/>
    <w:rsid w:val="00343B53"/>
    <w:rsid w:val="00345144"/>
    <w:rsid w:val="00346622"/>
    <w:rsid w:val="003507DB"/>
    <w:rsid w:val="00351B07"/>
    <w:rsid w:val="0035665F"/>
    <w:rsid w:val="00357FA9"/>
    <w:rsid w:val="0036085F"/>
    <w:rsid w:val="00363776"/>
    <w:rsid w:val="0036533D"/>
    <w:rsid w:val="00365D1E"/>
    <w:rsid w:val="00371B29"/>
    <w:rsid w:val="00374F16"/>
    <w:rsid w:val="003766F8"/>
    <w:rsid w:val="00380106"/>
    <w:rsid w:val="003814F0"/>
    <w:rsid w:val="00381550"/>
    <w:rsid w:val="00381E07"/>
    <w:rsid w:val="00385381"/>
    <w:rsid w:val="00385788"/>
    <w:rsid w:val="00385F34"/>
    <w:rsid w:val="00390DBD"/>
    <w:rsid w:val="00391440"/>
    <w:rsid w:val="00391769"/>
    <w:rsid w:val="00392D87"/>
    <w:rsid w:val="003953E1"/>
    <w:rsid w:val="003956B3"/>
    <w:rsid w:val="00396670"/>
    <w:rsid w:val="00397295"/>
    <w:rsid w:val="003974EC"/>
    <w:rsid w:val="003A0A4D"/>
    <w:rsid w:val="003A1749"/>
    <w:rsid w:val="003A198F"/>
    <w:rsid w:val="003A3D30"/>
    <w:rsid w:val="003A4FC8"/>
    <w:rsid w:val="003A68BE"/>
    <w:rsid w:val="003A7B84"/>
    <w:rsid w:val="003B0975"/>
    <w:rsid w:val="003B6F48"/>
    <w:rsid w:val="003C3BEE"/>
    <w:rsid w:val="003C4969"/>
    <w:rsid w:val="003C5FE8"/>
    <w:rsid w:val="003D2760"/>
    <w:rsid w:val="003D2CDC"/>
    <w:rsid w:val="003D484D"/>
    <w:rsid w:val="003D4B47"/>
    <w:rsid w:val="003D500E"/>
    <w:rsid w:val="003E0B9F"/>
    <w:rsid w:val="003E1EC7"/>
    <w:rsid w:val="003E3492"/>
    <w:rsid w:val="003E41D5"/>
    <w:rsid w:val="003E46BA"/>
    <w:rsid w:val="003E636E"/>
    <w:rsid w:val="003F1589"/>
    <w:rsid w:val="003F20D5"/>
    <w:rsid w:val="003F6CAB"/>
    <w:rsid w:val="003F74C1"/>
    <w:rsid w:val="00401ADE"/>
    <w:rsid w:val="00402FBF"/>
    <w:rsid w:val="00403BCE"/>
    <w:rsid w:val="00405AD9"/>
    <w:rsid w:val="00405B1A"/>
    <w:rsid w:val="00405F27"/>
    <w:rsid w:val="00407F4A"/>
    <w:rsid w:val="00410C76"/>
    <w:rsid w:val="00411907"/>
    <w:rsid w:val="004176A9"/>
    <w:rsid w:val="00417965"/>
    <w:rsid w:val="00417CA0"/>
    <w:rsid w:val="00417EE3"/>
    <w:rsid w:val="004207EB"/>
    <w:rsid w:val="00421730"/>
    <w:rsid w:val="00422EC9"/>
    <w:rsid w:val="00423AC7"/>
    <w:rsid w:val="00432A42"/>
    <w:rsid w:val="0043428F"/>
    <w:rsid w:val="004356AF"/>
    <w:rsid w:val="00436FAA"/>
    <w:rsid w:val="00437276"/>
    <w:rsid w:val="00442520"/>
    <w:rsid w:val="00446AC7"/>
    <w:rsid w:val="00453646"/>
    <w:rsid w:val="004558C4"/>
    <w:rsid w:val="00456B54"/>
    <w:rsid w:val="00456BD5"/>
    <w:rsid w:val="00457852"/>
    <w:rsid w:val="00463FAA"/>
    <w:rsid w:val="00464643"/>
    <w:rsid w:val="00465197"/>
    <w:rsid w:val="00465AAA"/>
    <w:rsid w:val="00470C1F"/>
    <w:rsid w:val="004755F8"/>
    <w:rsid w:val="0047670D"/>
    <w:rsid w:val="004777E3"/>
    <w:rsid w:val="00480EC3"/>
    <w:rsid w:val="00482666"/>
    <w:rsid w:val="00485611"/>
    <w:rsid w:val="00486793"/>
    <w:rsid w:val="00486C66"/>
    <w:rsid w:val="00486CCE"/>
    <w:rsid w:val="00491F50"/>
    <w:rsid w:val="00494A3F"/>
    <w:rsid w:val="004956C7"/>
    <w:rsid w:val="004A2037"/>
    <w:rsid w:val="004A3B5D"/>
    <w:rsid w:val="004A4234"/>
    <w:rsid w:val="004A58A2"/>
    <w:rsid w:val="004A71D9"/>
    <w:rsid w:val="004A793C"/>
    <w:rsid w:val="004B047B"/>
    <w:rsid w:val="004B400E"/>
    <w:rsid w:val="004B42DC"/>
    <w:rsid w:val="004B4CDC"/>
    <w:rsid w:val="004C16E7"/>
    <w:rsid w:val="004C24B7"/>
    <w:rsid w:val="004C5F08"/>
    <w:rsid w:val="004C7368"/>
    <w:rsid w:val="004C756F"/>
    <w:rsid w:val="004D121E"/>
    <w:rsid w:val="004D1B1C"/>
    <w:rsid w:val="004D6A50"/>
    <w:rsid w:val="004E39D7"/>
    <w:rsid w:val="004E4290"/>
    <w:rsid w:val="004E5201"/>
    <w:rsid w:val="004E6BBD"/>
    <w:rsid w:val="004E740A"/>
    <w:rsid w:val="004F4F98"/>
    <w:rsid w:val="004F59E1"/>
    <w:rsid w:val="004F69F6"/>
    <w:rsid w:val="004F79AC"/>
    <w:rsid w:val="00502635"/>
    <w:rsid w:val="005043AF"/>
    <w:rsid w:val="00506E9B"/>
    <w:rsid w:val="005107CC"/>
    <w:rsid w:val="00513539"/>
    <w:rsid w:val="005136ED"/>
    <w:rsid w:val="005207D8"/>
    <w:rsid w:val="00521377"/>
    <w:rsid w:val="00523930"/>
    <w:rsid w:val="005244F1"/>
    <w:rsid w:val="005304B4"/>
    <w:rsid w:val="00530B67"/>
    <w:rsid w:val="00530D73"/>
    <w:rsid w:val="00537712"/>
    <w:rsid w:val="00537CDC"/>
    <w:rsid w:val="00537F99"/>
    <w:rsid w:val="0054132F"/>
    <w:rsid w:val="00542839"/>
    <w:rsid w:val="005432B8"/>
    <w:rsid w:val="00546361"/>
    <w:rsid w:val="00546BC6"/>
    <w:rsid w:val="00553AD6"/>
    <w:rsid w:val="00554672"/>
    <w:rsid w:val="0055542D"/>
    <w:rsid w:val="00560185"/>
    <w:rsid w:val="00562917"/>
    <w:rsid w:val="00563FFB"/>
    <w:rsid w:val="0056448C"/>
    <w:rsid w:val="00564FD8"/>
    <w:rsid w:val="00565BB4"/>
    <w:rsid w:val="00565CAD"/>
    <w:rsid w:val="00565EE6"/>
    <w:rsid w:val="00567B0C"/>
    <w:rsid w:val="005703A7"/>
    <w:rsid w:val="00571B8C"/>
    <w:rsid w:val="005729A3"/>
    <w:rsid w:val="00576D9D"/>
    <w:rsid w:val="00577D11"/>
    <w:rsid w:val="00580DDF"/>
    <w:rsid w:val="005811B7"/>
    <w:rsid w:val="00583A63"/>
    <w:rsid w:val="00583F7A"/>
    <w:rsid w:val="00584B3C"/>
    <w:rsid w:val="00586228"/>
    <w:rsid w:val="00586D96"/>
    <w:rsid w:val="00590705"/>
    <w:rsid w:val="005946D3"/>
    <w:rsid w:val="00596DC8"/>
    <w:rsid w:val="00597631"/>
    <w:rsid w:val="005A3C83"/>
    <w:rsid w:val="005A572E"/>
    <w:rsid w:val="005A57C5"/>
    <w:rsid w:val="005A77F9"/>
    <w:rsid w:val="005A795C"/>
    <w:rsid w:val="005B0640"/>
    <w:rsid w:val="005B084E"/>
    <w:rsid w:val="005B098F"/>
    <w:rsid w:val="005B4736"/>
    <w:rsid w:val="005B4FCB"/>
    <w:rsid w:val="005B6AF4"/>
    <w:rsid w:val="005C04CB"/>
    <w:rsid w:val="005C05B7"/>
    <w:rsid w:val="005C0C65"/>
    <w:rsid w:val="005C3174"/>
    <w:rsid w:val="005C56E0"/>
    <w:rsid w:val="005C6226"/>
    <w:rsid w:val="005C648A"/>
    <w:rsid w:val="005C78A6"/>
    <w:rsid w:val="005D16AD"/>
    <w:rsid w:val="005D1A37"/>
    <w:rsid w:val="005D2016"/>
    <w:rsid w:val="005D72E1"/>
    <w:rsid w:val="005D7BEB"/>
    <w:rsid w:val="005E06C0"/>
    <w:rsid w:val="005E34B3"/>
    <w:rsid w:val="005E58D3"/>
    <w:rsid w:val="005E6E16"/>
    <w:rsid w:val="005F13D0"/>
    <w:rsid w:val="005F3ECE"/>
    <w:rsid w:val="005F400E"/>
    <w:rsid w:val="005F4D73"/>
    <w:rsid w:val="005F7342"/>
    <w:rsid w:val="006001CC"/>
    <w:rsid w:val="0060055F"/>
    <w:rsid w:val="0060086F"/>
    <w:rsid w:val="006016BA"/>
    <w:rsid w:val="00607C50"/>
    <w:rsid w:val="00610A3C"/>
    <w:rsid w:val="0061199A"/>
    <w:rsid w:val="00612276"/>
    <w:rsid w:val="006132DB"/>
    <w:rsid w:val="006138D7"/>
    <w:rsid w:val="00615E83"/>
    <w:rsid w:val="00616017"/>
    <w:rsid w:val="00617987"/>
    <w:rsid w:val="006269F2"/>
    <w:rsid w:val="00627971"/>
    <w:rsid w:val="00627F48"/>
    <w:rsid w:val="00630252"/>
    <w:rsid w:val="00630C37"/>
    <w:rsid w:val="00634178"/>
    <w:rsid w:val="0063455F"/>
    <w:rsid w:val="00635814"/>
    <w:rsid w:val="00636C0C"/>
    <w:rsid w:val="00637ABB"/>
    <w:rsid w:val="00640796"/>
    <w:rsid w:val="00640835"/>
    <w:rsid w:val="00646ED7"/>
    <w:rsid w:val="00654E9D"/>
    <w:rsid w:val="00656FB2"/>
    <w:rsid w:val="0066129F"/>
    <w:rsid w:val="00663FCF"/>
    <w:rsid w:val="006648A3"/>
    <w:rsid w:val="00664B4F"/>
    <w:rsid w:val="006652A2"/>
    <w:rsid w:val="0066593A"/>
    <w:rsid w:val="00667E28"/>
    <w:rsid w:val="00667F81"/>
    <w:rsid w:val="0067022F"/>
    <w:rsid w:val="00670237"/>
    <w:rsid w:val="0067317C"/>
    <w:rsid w:val="00673BFD"/>
    <w:rsid w:val="00675D61"/>
    <w:rsid w:val="00676FD7"/>
    <w:rsid w:val="00680B99"/>
    <w:rsid w:val="00680E1C"/>
    <w:rsid w:val="00683071"/>
    <w:rsid w:val="006849C4"/>
    <w:rsid w:val="00692490"/>
    <w:rsid w:val="006933FE"/>
    <w:rsid w:val="00695989"/>
    <w:rsid w:val="006969CC"/>
    <w:rsid w:val="00696A15"/>
    <w:rsid w:val="00697344"/>
    <w:rsid w:val="006A06A1"/>
    <w:rsid w:val="006A1136"/>
    <w:rsid w:val="006A1192"/>
    <w:rsid w:val="006A48A7"/>
    <w:rsid w:val="006A5D40"/>
    <w:rsid w:val="006A67D5"/>
    <w:rsid w:val="006B5BEF"/>
    <w:rsid w:val="006B7028"/>
    <w:rsid w:val="006C116D"/>
    <w:rsid w:val="006C22A7"/>
    <w:rsid w:val="006C299A"/>
    <w:rsid w:val="006C5CF5"/>
    <w:rsid w:val="006D33FF"/>
    <w:rsid w:val="006D56CE"/>
    <w:rsid w:val="006D626E"/>
    <w:rsid w:val="006D7337"/>
    <w:rsid w:val="006E0255"/>
    <w:rsid w:val="006E10A1"/>
    <w:rsid w:val="006E1117"/>
    <w:rsid w:val="006E2D6F"/>
    <w:rsid w:val="006E423F"/>
    <w:rsid w:val="006E5F31"/>
    <w:rsid w:val="006E786D"/>
    <w:rsid w:val="006F4A82"/>
    <w:rsid w:val="0070543E"/>
    <w:rsid w:val="007104D0"/>
    <w:rsid w:val="00710C37"/>
    <w:rsid w:val="00716A03"/>
    <w:rsid w:val="00716CA4"/>
    <w:rsid w:val="00724FA4"/>
    <w:rsid w:val="00726393"/>
    <w:rsid w:val="00730800"/>
    <w:rsid w:val="00731C28"/>
    <w:rsid w:val="00732039"/>
    <w:rsid w:val="00743BC4"/>
    <w:rsid w:val="007461B9"/>
    <w:rsid w:val="00746777"/>
    <w:rsid w:val="00751395"/>
    <w:rsid w:val="00752FCF"/>
    <w:rsid w:val="00755AFF"/>
    <w:rsid w:val="00755D7B"/>
    <w:rsid w:val="00755F02"/>
    <w:rsid w:val="007602AA"/>
    <w:rsid w:val="00762D30"/>
    <w:rsid w:val="007633F7"/>
    <w:rsid w:val="007652EF"/>
    <w:rsid w:val="00765DE1"/>
    <w:rsid w:val="00767FFB"/>
    <w:rsid w:val="00772A7F"/>
    <w:rsid w:val="00772BDC"/>
    <w:rsid w:val="007731EE"/>
    <w:rsid w:val="00775BE1"/>
    <w:rsid w:val="00777437"/>
    <w:rsid w:val="007776B4"/>
    <w:rsid w:val="00780792"/>
    <w:rsid w:val="00781342"/>
    <w:rsid w:val="0078309E"/>
    <w:rsid w:val="007869C2"/>
    <w:rsid w:val="00787380"/>
    <w:rsid w:val="00787FA2"/>
    <w:rsid w:val="00791247"/>
    <w:rsid w:val="00795D86"/>
    <w:rsid w:val="00797A2D"/>
    <w:rsid w:val="007A4111"/>
    <w:rsid w:val="007A44B4"/>
    <w:rsid w:val="007A53BF"/>
    <w:rsid w:val="007A7D3D"/>
    <w:rsid w:val="007A7F9B"/>
    <w:rsid w:val="007B225D"/>
    <w:rsid w:val="007B2413"/>
    <w:rsid w:val="007B37B3"/>
    <w:rsid w:val="007B6939"/>
    <w:rsid w:val="007C1C64"/>
    <w:rsid w:val="007C22CB"/>
    <w:rsid w:val="007C4B04"/>
    <w:rsid w:val="007C552E"/>
    <w:rsid w:val="007D0189"/>
    <w:rsid w:val="007D1F46"/>
    <w:rsid w:val="007D2377"/>
    <w:rsid w:val="007D2910"/>
    <w:rsid w:val="007D2B24"/>
    <w:rsid w:val="007D5FA2"/>
    <w:rsid w:val="007D7A0C"/>
    <w:rsid w:val="007E4227"/>
    <w:rsid w:val="007E48BC"/>
    <w:rsid w:val="007E72C1"/>
    <w:rsid w:val="007E79F7"/>
    <w:rsid w:val="007E7C65"/>
    <w:rsid w:val="007F0753"/>
    <w:rsid w:val="007F1810"/>
    <w:rsid w:val="007F2C1B"/>
    <w:rsid w:val="007F3630"/>
    <w:rsid w:val="007F693E"/>
    <w:rsid w:val="007F7A91"/>
    <w:rsid w:val="007F7BF7"/>
    <w:rsid w:val="00803691"/>
    <w:rsid w:val="008045E6"/>
    <w:rsid w:val="00804A3D"/>
    <w:rsid w:val="00807559"/>
    <w:rsid w:val="00810944"/>
    <w:rsid w:val="00811307"/>
    <w:rsid w:val="008120F9"/>
    <w:rsid w:val="00813126"/>
    <w:rsid w:val="0081318F"/>
    <w:rsid w:val="00813464"/>
    <w:rsid w:val="00816F9B"/>
    <w:rsid w:val="00817E40"/>
    <w:rsid w:val="00820360"/>
    <w:rsid w:val="0082498C"/>
    <w:rsid w:val="00830FA0"/>
    <w:rsid w:val="00831154"/>
    <w:rsid w:val="00836DC5"/>
    <w:rsid w:val="00840EF9"/>
    <w:rsid w:val="00840F0C"/>
    <w:rsid w:val="00844DBC"/>
    <w:rsid w:val="008450BC"/>
    <w:rsid w:val="008462BE"/>
    <w:rsid w:val="00847066"/>
    <w:rsid w:val="00847803"/>
    <w:rsid w:val="00850B09"/>
    <w:rsid w:val="00851B45"/>
    <w:rsid w:val="00852BC2"/>
    <w:rsid w:val="0085334B"/>
    <w:rsid w:val="008537BA"/>
    <w:rsid w:val="0085473E"/>
    <w:rsid w:val="00856712"/>
    <w:rsid w:val="00860808"/>
    <w:rsid w:val="00860943"/>
    <w:rsid w:val="00861C13"/>
    <w:rsid w:val="00862349"/>
    <w:rsid w:val="0086571E"/>
    <w:rsid w:val="0086787F"/>
    <w:rsid w:val="00870214"/>
    <w:rsid w:val="00871116"/>
    <w:rsid w:val="00873705"/>
    <w:rsid w:val="00873848"/>
    <w:rsid w:val="00874C91"/>
    <w:rsid w:val="0088362A"/>
    <w:rsid w:val="00885C51"/>
    <w:rsid w:val="008909E7"/>
    <w:rsid w:val="00890AE3"/>
    <w:rsid w:val="008937FA"/>
    <w:rsid w:val="00896B85"/>
    <w:rsid w:val="008A243D"/>
    <w:rsid w:val="008A6A0E"/>
    <w:rsid w:val="008A6ACE"/>
    <w:rsid w:val="008A703A"/>
    <w:rsid w:val="008B4467"/>
    <w:rsid w:val="008B4FD9"/>
    <w:rsid w:val="008B5BF5"/>
    <w:rsid w:val="008B63CD"/>
    <w:rsid w:val="008B7BE0"/>
    <w:rsid w:val="008C4867"/>
    <w:rsid w:val="008C4E76"/>
    <w:rsid w:val="008D06C6"/>
    <w:rsid w:val="008D1076"/>
    <w:rsid w:val="008D1957"/>
    <w:rsid w:val="008D27F4"/>
    <w:rsid w:val="008D5E9D"/>
    <w:rsid w:val="008E132B"/>
    <w:rsid w:val="008E60F1"/>
    <w:rsid w:val="008E6250"/>
    <w:rsid w:val="008E682D"/>
    <w:rsid w:val="008E78F9"/>
    <w:rsid w:val="008E7CEC"/>
    <w:rsid w:val="008F0A98"/>
    <w:rsid w:val="008F1318"/>
    <w:rsid w:val="008F47BB"/>
    <w:rsid w:val="008F70A2"/>
    <w:rsid w:val="009060CD"/>
    <w:rsid w:val="0090676C"/>
    <w:rsid w:val="00913855"/>
    <w:rsid w:val="00917C6F"/>
    <w:rsid w:val="00920249"/>
    <w:rsid w:val="00924966"/>
    <w:rsid w:val="0092651D"/>
    <w:rsid w:val="00926FF7"/>
    <w:rsid w:val="009305AA"/>
    <w:rsid w:val="00930F07"/>
    <w:rsid w:val="0093136A"/>
    <w:rsid w:val="009319EC"/>
    <w:rsid w:val="00932F14"/>
    <w:rsid w:val="00933DE5"/>
    <w:rsid w:val="00934A9A"/>
    <w:rsid w:val="00941150"/>
    <w:rsid w:val="00941526"/>
    <w:rsid w:val="0094247F"/>
    <w:rsid w:val="00942CFB"/>
    <w:rsid w:val="00942D60"/>
    <w:rsid w:val="00943497"/>
    <w:rsid w:val="0094358A"/>
    <w:rsid w:val="009460FA"/>
    <w:rsid w:val="0094714A"/>
    <w:rsid w:val="00947534"/>
    <w:rsid w:val="009478A1"/>
    <w:rsid w:val="00955E8E"/>
    <w:rsid w:val="00957296"/>
    <w:rsid w:val="009576CE"/>
    <w:rsid w:val="0096001B"/>
    <w:rsid w:val="009601B2"/>
    <w:rsid w:val="00961443"/>
    <w:rsid w:val="0096248D"/>
    <w:rsid w:val="0096523B"/>
    <w:rsid w:val="009713BA"/>
    <w:rsid w:val="00971744"/>
    <w:rsid w:val="009718F4"/>
    <w:rsid w:val="00972D06"/>
    <w:rsid w:val="00973499"/>
    <w:rsid w:val="009737BD"/>
    <w:rsid w:val="0097568D"/>
    <w:rsid w:val="00975B2F"/>
    <w:rsid w:val="00976D84"/>
    <w:rsid w:val="00984225"/>
    <w:rsid w:val="00987B76"/>
    <w:rsid w:val="009900B3"/>
    <w:rsid w:val="0099323D"/>
    <w:rsid w:val="0099623A"/>
    <w:rsid w:val="0099659A"/>
    <w:rsid w:val="009A2699"/>
    <w:rsid w:val="009A2C96"/>
    <w:rsid w:val="009A2DC9"/>
    <w:rsid w:val="009A391C"/>
    <w:rsid w:val="009A6733"/>
    <w:rsid w:val="009B131F"/>
    <w:rsid w:val="009B4261"/>
    <w:rsid w:val="009B649B"/>
    <w:rsid w:val="009C5881"/>
    <w:rsid w:val="009D7DA6"/>
    <w:rsid w:val="009E0A61"/>
    <w:rsid w:val="009E3010"/>
    <w:rsid w:val="009E395B"/>
    <w:rsid w:val="009E46F5"/>
    <w:rsid w:val="009F60CE"/>
    <w:rsid w:val="009F7065"/>
    <w:rsid w:val="00A010FD"/>
    <w:rsid w:val="00A02B9D"/>
    <w:rsid w:val="00A11A13"/>
    <w:rsid w:val="00A127DC"/>
    <w:rsid w:val="00A14F07"/>
    <w:rsid w:val="00A16442"/>
    <w:rsid w:val="00A16BE7"/>
    <w:rsid w:val="00A205A9"/>
    <w:rsid w:val="00A2145C"/>
    <w:rsid w:val="00A2449C"/>
    <w:rsid w:val="00A26F93"/>
    <w:rsid w:val="00A2758B"/>
    <w:rsid w:val="00A31331"/>
    <w:rsid w:val="00A318EB"/>
    <w:rsid w:val="00A31F59"/>
    <w:rsid w:val="00A33CCA"/>
    <w:rsid w:val="00A35567"/>
    <w:rsid w:val="00A3654C"/>
    <w:rsid w:val="00A37100"/>
    <w:rsid w:val="00A41B50"/>
    <w:rsid w:val="00A5298D"/>
    <w:rsid w:val="00A551B9"/>
    <w:rsid w:val="00A56DC7"/>
    <w:rsid w:val="00A643CA"/>
    <w:rsid w:val="00A66054"/>
    <w:rsid w:val="00A66656"/>
    <w:rsid w:val="00A66FDD"/>
    <w:rsid w:val="00A671E6"/>
    <w:rsid w:val="00A70646"/>
    <w:rsid w:val="00A709E5"/>
    <w:rsid w:val="00A74FD1"/>
    <w:rsid w:val="00A75CD4"/>
    <w:rsid w:val="00A764CC"/>
    <w:rsid w:val="00A77B8A"/>
    <w:rsid w:val="00A80169"/>
    <w:rsid w:val="00A80744"/>
    <w:rsid w:val="00A84A58"/>
    <w:rsid w:val="00A85E38"/>
    <w:rsid w:val="00A86EF1"/>
    <w:rsid w:val="00A914B1"/>
    <w:rsid w:val="00A929A9"/>
    <w:rsid w:val="00A93B5D"/>
    <w:rsid w:val="00A96594"/>
    <w:rsid w:val="00A967AD"/>
    <w:rsid w:val="00AA3C1A"/>
    <w:rsid w:val="00AA4134"/>
    <w:rsid w:val="00AA41BA"/>
    <w:rsid w:val="00AA4748"/>
    <w:rsid w:val="00AA6D0D"/>
    <w:rsid w:val="00AA6FA3"/>
    <w:rsid w:val="00AB2A40"/>
    <w:rsid w:val="00AB4561"/>
    <w:rsid w:val="00AC428E"/>
    <w:rsid w:val="00AD1159"/>
    <w:rsid w:val="00AD13FD"/>
    <w:rsid w:val="00AD344F"/>
    <w:rsid w:val="00AD463E"/>
    <w:rsid w:val="00AE0252"/>
    <w:rsid w:val="00AE1E89"/>
    <w:rsid w:val="00AE3382"/>
    <w:rsid w:val="00AE4FFD"/>
    <w:rsid w:val="00AE52EF"/>
    <w:rsid w:val="00AE5623"/>
    <w:rsid w:val="00AF24FA"/>
    <w:rsid w:val="00AF387F"/>
    <w:rsid w:val="00AF397D"/>
    <w:rsid w:val="00AF6E40"/>
    <w:rsid w:val="00AF7D35"/>
    <w:rsid w:val="00B00117"/>
    <w:rsid w:val="00B00E7F"/>
    <w:rsid w:val="00B0215E"/>
    <w:rsid w:val="00B0385D"/>
    <w:rsid w:val="00B03C87"/>
    <w:rsid w:val="00B0400D"/>
    <w:rsid w:val="00B07B69"/>
    <w:rsid w:val="00B16E86"/>
    <w:rsid w:val="00B17112"/>
    <w:rsid w:val="00B21055"/>
    <w:rsid w:val="00B215D0"/>
    <w:rsid w:val="00B21DCC"/>
    <w:rsid w:val="00B22849"/>
    <w:rsid w:val="00B24121"/>
    <w:rsid w:val="00B25F37"/>
    <w:rsid w:val="00B368F0"/>
    <w:rsid w:val="00B37158"/>
    <w:rsid w:val="00B425AA"/>
    <w:rsid w:val="00B44422"/>
    <w:rsid w:val="00B447D6"/>
    <w:rsid w:val="00B46EA0"/>
    <w:rsid w:val="00B522F8"/>
    <w:rsid w:val="00B5397F"/>
    <w:rsid w:val="00B54EEB"/>
    <w:rsid w:val="00B55714"/>
    <w:rsid w:val="00B62990"/>
    <w:rsid w:val="00B63BBA"/>
    <w:rsid w:val="00B64834"/>
    <w:rsid w:val="00B731D3"/>
    <w:rsid w:val="00B75B57"/>
    <w:rsid w:val="00B77C18"/>
    <w:rsid w:val="00B811B3"/>
    <w:rsid w:val="00B8371E"/>
    <w:rsid w:val="00B839A3"/>
    <w:rsid w:val="00B902BD"/>
    <w:rsid w:val="00B905C0"/>
    <w:rsid w:val="00B9122F"/>
    <w:rsid w:val="00B91866"/>
    <w:rsid w:val="00B9219F"/>
    <w:rsid w:val="00B92501"/>
    <w:rsid w:val="00B95550"/>
    <w:rsid w:val="00B95ACE"/>
    <w:rsid w:val="00B95FAA"/>
    <w:rsid w:val="00B9643D"/>
    <w:rsid w:val="00B9688E"/>
    <w:rsid w:val="00BA000F"/>
    <w:rsid w:val="00BA033D"/>
    <w:rsid w:val="00BA08D5"/>
    <w:rsid w:val="00BA1009"/>
    <w:rsid w:val="00BA2979"/>
    <w:rsid w:val="00BA5DAC"/>
    <w:rsid w:val="00BB0EC9"/>
    <w:rsid w:val="00BB261F"/>
    <w:rsid w:val="00BB4AC6"/>
    <w:rsid w:val="00BB6BFD"/>
    <w:rsid w:val="00BC3899"/>
    <w:rsid w:val="00BC6EE8"/>
    <w:rsid w:val="00BC7D70"/>
    <w:rsid w:val="00BD00FA"/>
    <w:rsid w:val="00BD2A39"/>
    <w:rsid w:val="00BD2E80"/>
    <w:rsid w:val="00BD46BF"/>
    <w:rsid w:val="00BD49FF"/>
    <w:rsid w:val="00BD4B64"/>
    <w:rsid w:val="00BD5AB9"/>
    <w:rsid w:val="00BD6F5B"/>
    <w:rsid w:val="00BD77E1"/>
    <w:rsid w:val="00BE11B8"/>
    <w:rsid w:val="00BE3595"/>
    <w:rsid w:val="00BE4751"/>
    <w:rsid w:val="00BE5F17"/>
    <w:rsid w:val="00BE65B9"/>
    <w:rsid w:val="00BF2DC8"/>
    <w:rsid w:val="00BF33EB"/>
    <w:rsid w:val="00BF45A3"/>
    <w:rsid w:val="00BF54DB"/>
    <w:rsid w:val="00BF5A29"/>
    <w:rsid w:val="00BF5B09"/>
    <w:rsid w:val="00BF713E"/>
    <w:rsid w:val="00BF7FF0"/>
    <w:rsid w:val="00C00F5D"/>
    <w:rsid w:val="00C03B0A"/>
    <w:rsid w:val="00C063C5"/>
    <w:rsid w:val="00C065B6"/>
    <w:rsid w:val="00C077B8"/>
    <w:rsid w:val="00C11AEA"/>
    <w:rsid w:val="00C12502"/>
    <w:rsid w:val="00C177BB"/>
    <w:rsid w:val="00C21024"/>
    <w:rsid w:val="00C236E7"/>
    <w:rsid w:val="00C26370"/>
    <w:rsid w:val="00C26B3B"/>
    <w:rsid w:val="00C37B7D"/>
    <w:rsid w:val="00C40576"/>
    <w:rsid w:val="00C4082E"/>
    <w:rsid w:val="00C40945"/>
    <w:rsid w:val="00C40AA5"/>
    <w:rsid w:val="00C41066"/>
    <w:rsid w:val="00C4253D"/>
    <w:rsid w:val="00C46F70"/>
    <w:rsid w:val="00C476D0"/>
    <w:rsid w:val="00C47919"/>
    <w:rsid w:val="00C5183F"/>
    <w:rsid w:val="00C52C52"/>
    <w:rsid w:val="00C53A7F"/>
    <w:rsid w:val="00C56CF1"/>
    <w:rsid w:val="00C57BA5"/>
    <w:rsid w:val="00C60D90"/>
    <w:rsid w:val="00C6434A"/>
    <w:rsid w:val="00C64555"/>
    <w:rsid w:val="00C6564A"/>
    <w:rsid w:val="00C72D39"/>
    <w:rsid w:val="00C74398"/>
    <w:rsid w:val="00C81D12"/>
    <w:rsid w:val="00C830B9"/>
    <w:rsid w:val="00C836E3"/>
    <w:rsid w:val="00C836FF"/>
    <w:rsid w:val="00C854DC"/>
    <w:rsid w:val="00C86577"/>
    <w:rsid w:val="00C86A3A"/>
    <w:rsid w:val="00C91C02"/>
    <w:rsid w:val="00C921EC"/>
    <w:rsid w:val="00C92452"/>
    <w:rsid w:val="00C92E07"/>
    <w:rsid w:val="00C9378A"/>
    <w:rsid w:val="00C95E5D"/>
    <w:rsid w:val="00C96868"/>
    <w:rsid w:val="00CA0416"/>
    <w:rsid w:val="00CA5734"/>
    <w:rsid w:val="00CB09A6"/>
    <w:rsid w:val="00CB115C"/>
    <w:rsid w:val="00CB3C23"/>
    <w:rsid w:val="00CB4716"/>
    <w:rsid w:val="00CC0450"/>
    <w:rsid w:val="00CC16D6"/>
    <w:rsid w:val="00CC3764"/>
    <w:rsid w:val="00CC3A35"/>
    <w:rsid w:val="00CC48E3"/>
    <w:rsid w:val="00CC5468"/>
    <w:rsid w:val="00CC560B"/>
    <w:rsid w:val="00CC6FD7"/>
    <w:rsid w:val="00CC75E2"/>
    <w:rsid w:val="00CD0EA7"/>
    <w:rsid w:val="00CD46EB"/>
    <w:rsid w:val="00CD6539"/>
    <w:rsid w:val="00CD791C"/>
    <w:rsid w:val="00CD7EBF"/>
    <w:rsid w:val="00CE1D53"/>
    <w:rsid w:val="00CE384D"/>
    <w:rsid w:val="00CE59AA"/>
    <w:rsid w:val="00CE770C"/>
    <w:rsid w:val="00CF0D8D"/>
    <w:rsid w:val="00CF0E86"/>
    <w:rsid w:val="00CF2027"/>
    <w:rsid w:val="00CF2C79"/>
    <w:rsid w:val="00CF5482"/>
    <w:rsid w:val="00CF6575"/>
    <w:rsid w:val="00D00DFA"/>
    <w:rsid w:val="00D02CF0"/>
    <w:rsid w:val="00D02DEC"/>
    <w:rsid w:val="00D056F1"/>
    <w:rsid w:val="00D06616"/>
    <w:rsid w:val="00D079AC"/>
    <w:rsid w:val="00D100A9"/>
    <w:rsid w:val="00D12319"/>
    <w:rsid w:val="00D1259A"/>
    <w:rsid w:val="00D1397C"/>
    <w:rsid w:val="00D144D7"/>
    <w:rsid w:val="00D15A08"/>
    <w:rsid w:val="00D1670B"/>
    <w:rsid w:val="00D16C71"/>
    <w:rsid w:val="00D23201"/>
    <w:rsid w:val="00D23DB6"/>
    <w:rsid w:val="00D248C8"/>
    <w:rsid w:val="00D257E6"/>
    <w:rsid w:val="00D377B8"/>
    <w:rsid w:val="00D40004"/>
    <w:rsid w:val="00D50745"/>
    <w:rsid w:val="00D51A95"/>
    <w:rsid w:val="00D55030"/>
    <w:rsid w:val="00D55EA5"/>
    <w:rsid w:val="00D5707B"/>
    <w:rsid w:val="00D60568"/>
    <w:rsid w:val="00D70C7A"/>
    <w:rsid w:val="00D72A29"/>
    <w:rsid w:val="00D7317F"/>
    <w:rsid w:val="00D740A0"/>
    <w:rsid w:val="00D75BC9"/>
    <w:rsid w:val="00D81DE8"/>
    <w:rsid w:val="00D834E5"/>
    <w:rsid w:val="00D8551C"/>
    <w:rsid w:val="00D86FF7"/>
    <w:rsid w:val="00D92A33"/>
    <w:rsid w:val="00D956DC"/>
    <w:rsid w:val="00D96C9C"/>
    <w:rsid w:val="00DA1025"/>
    <w:rsid w:val="00DA10A8"/>
    <w:rsid w:val="00DA1F17"/>
    <w:rsid w:val="00DA4316"/>
    <w:rsid w:val="00DA4B9E"/>
    <w:rsid w:val="00DA6040"/>
    <w:rsid w:val="00DA7EB4"/>
    <w:rsid w:val="00DB123A"/>
    <w:rsid w:val="00DB13B3"/>
    <w:rsid w:val="00DB1A63"/>
    <w:rsid w:val="00DB1E08"/>
    <w:rsid w:val="00DB2973"/>
    <w:rsid w:val="00DB3250"/>
    <w:rsid w:val="00DB36C4"/>
    <w:rsid w:val="00DB3891"/>
    <w:rsid w:val="00DB77C4"/>
    <w:rsid w:val="00DC0FBA"/>
    <w:rsid w:val="00DC1B56"/>
    <w:rsid w:val="00DC20CC"/>
    <w:rsid w:val="00DC2129"/>
    <w:rsid w:val="00DC6570"/>
    <w:rsid w:val="00DC750C"/>
    <w:rsid w:val="00DD265C"/>
    <w:rsid w:val="00DD3703"/>
    <w:rsid w:val="00DD3CE3"/>
    <w:rsid w:val="00DD42B6"/>
    <w:rsid w:val="00DD65E2"/>
    <w:rsid w:val="00DE35DC"/>
    <w:rsid w:val="00DE5528"/>
    <w:rsid w:val="00DF0453"/>
    <w:rsid w:val="00DF0C35"/>
    <w:rsid w:val="00DF1D81"/>
    <w:rsid w:val="00DF22F5"/>
    <w:rsid w:val="00DF25C3"/>
    <w:rsid w:val="00DF58C6"/>
    <w:rsid w:val="00DF5CFF"/>
    <w:rsid w:val="00DF72BB"/>
    <w:rsid w:val="00E00607"/>
    <w:rsid w:val="00E010FA"/>
    <w:rsid w:val="00E01E60"/>
    <w:rsid w:val="00E0298D"/>
    <w:rsid w:val="00E036E2"/>
    <w:rsid w:val="00E04062"/>
    <w:rsid w:val="00E063C6"/>
    <w:rsid w:val="00E068B0"/>
    <w:rsid w:val="00E1461E"/>
    <w:rsid w:val="00E16185"/>
    <w:rsid w:val="00E171FC"/>
    <w:rsid w:val="00E17321"/>
    <w:rsid w:val="00E2003B"/>
    <w:rsid w:val="00E20AAC"/>
    <w:rsid w:val="00E2285E"/>
    <w:rsid w:val="00E233F3"/>
    <w:rsid w:val="00E2469B"/>
    <w:rsid w:val="00E25ADE"/>
    <w:rsid w:val="00E26887"/>
    <w:rsid w:val="00E279D8"/>
    <w:rsid w:val="00E30092"/>
    <w:rsid w:val="00E30C60"/>
    <w:rsid w:val="00E319B1"/>
    <w:rsid w:val="00E327A6"/>
    <w:rsid w:val="00E32931"/>
    <w:rsid w:val="00E3684F"/>
    <w:rsid w:val="00E36953"/>
    <w:rsid w:val="00E47D3B"/>
    <w:rsid w:val="00E53C58"/>
    <w:rsid w:val="00E54109"/>
    <w:rsid w:val="00E5492F"/>
    <w:rsid w:val="00E572B1"/>
    <w:rsid w:val="00E5744C"/>
    <w:rsid w:val="00E607C6"/>
    <w:rsid w:val="00E6369A"/>
    <w:rsid w:val="00E65A09"/>
    <w:rsid w:val="00E70A86"/>
    <w:rsid w:val="00E70C17"/>
    <w:rsid w:val="00E71655"/>
    <w:rsid w:val="00E71AAE"/>
    <w:rsid w:val="00E72D68"/>
    <w:rsid w:val="00E737D8"/>
    <w:rsid w:val="00E73E50"/>
    <w:rsid w:val="00E77262"/>
    <w:rsid w:val="00E777EC"/>
    <w:rsid w:val="00E80FCD"/>
    <w:rsid w:val="00E868F1"/>
    <w:rsid w:val="00E904FD"/>
    <w:rsid w:val="00E909B2"/>
    <w:rsid w:val="00E92E6F"/>
    <w:rsid w:val="00E94404"/>
    <w:rsid w:val="00E97C18"/>
    <w:rsid w:val="00EA0769"/>
    <w:rsid w:val="00EA1E12"/>
    <w:rsid w:val="00EA2226"/>
    <w:rsid w:val="00EA7DB0"/>
    <w:rsid w:val="00EA7F2F"/>
    <w:rsid w:val="00EB0575"/>
    <w:rsid w:val="00EB1F85"/>
    <w:rsid w:val="00EB2B39"/>
    <w:rsid w:val="00EB3D27"/>
    <w:rsid w:val="00EB4C07"/>
    <w:rsid w:val="00EB4D2A"/>
    <w:rsid w:val="00EB5455"/>
    <w:rsid w:val="00EB576F"/>
    <w:rsid w:val="00EB6590"/>
    <w:rsid w:val="00EC00DE"/>
    <w:rsid w:val="00EC21DF"/>
    <w:rsid w:val="00EC30E1"/>
    <w:rsid w:val="00EC3436"/>
    <w:rsid w:val="00EC3B70"/>
    <w:rsid w:val="00EC5803"/>
    <w:rsid w:val="00EC66BB"/>
    <w:rsid w:val="00ED172A"/>
    <w:rsid w:val="00ED522A"/>
    <w:rsid w:val="00EE01DC"/>
    <w:rsid w:val="00EE0BD3"/>
    <w:rsid w:val="00EE10A7"/>
    <w:rsid w:val="00EE73AD"/>
    <w:rsid w:val="00EF1D31"/>
    <w:rsid w:val="00EF57E1"/>
    <w:rsid w:val="00EF614F"/>
    <w:rsid w:val="00EF6B14"/>
    <w:rsid w:val="00EF76B5"/>
    <w:rsid w:val="00F010BA"/>
    <w:rsid w:val="00F01F7E"/>
    <w:rsid w:val="00F04949"/>
    <w:rsid w:val="00F06E9B"/>
    <w:rsid w:val="00F13F47"/>
    <w:rsid w:val="00F14AB3"/>
    <w:rsid w:val="00F14BEC"/>
    <w:rsid w:val="00F220CB"/>
    <w:rsid w:val="00F224B7"/>
    <w:rsid w:val="00F225C5"/>
    <w:rsid w:val="00F2587A"/>
    <w:rsid w:val="00F31FA8"/>
    <w:rsid w:val="00F33470"/>
    <w:rsid w:val="00F34E02"/>
    <w:rsid w:val="00F3595E"/>
    <w:rsid w:val="00F37104"/>
    <w:rsid w:val="00F3715D"/>
    <w:rsid w:val="00F37A10"/>
    <w:rsid w:val="00F41612"/>
    <w:rsid w:val="00F41662"/>
    <w:rsid w:val="00F41742"/>
    <w:rsid w:val="00F420C8"/>
    <w:rsid w:val="00F42A4C"/>
    <w:rsid w:val="00F43117"/>
    <w:rsid w:val="00F45731"/>
    <w:rsid w:val="00F51851"/>
    <w:rsid w:val="00F526BD"/>
    <w:rsid w:val="00F5330E"/>
    <w:rsid w:val="00F55706"/>
    <w:rsid w:val="00F56F89"/>
    <w:rsid w:val="00F57065"/>
    <w:rsid w:val="00F57EF6"/>
    <w:rsid w:val="00F57F52"/>
    <w:rsid w:val="00F607DD"/>
    <w:rsid w:val="00F6188C"/>
    <w:rsid w:val="00F634A1"/>
    <w:rsid w:val="00F83B68"/>
    <w:rsid w:val="00F861C7"/>
    <w:rsid w:val="00F90096"/>
    <w:rsid w:val="00F936B4"/>
    <w:rsid w:val="00F97653"/>
    <w:rsid w:val="00FA3A3B"/>
    <w:rsid w:val="00FA47CF"/>
    <w:rsid w:val="00FA6B1F"/>
    <w:rsid w:val="00FA7B04"/>
    <w:rsid w:val="00FB7512"/>
    <w:rsid w:val="00FB77A2"/>
    <w:rsid w:val="00FC4EC9"/>
    <w:rsid w:val="00FD40E1"/>
    <w:rsid w:val="00FD7547"/>
    <w:rsid w:val="00FE287B"/>
    <w:rsid w:val="00FE6B50"/>
    <w:rsid w:val="00FE754B"/>
    <w:rsid w:val="00FE7C25"/>
    <w:rsid w:val="00FF1B03"/>
    <w:rsid w:val="00FF22EA"/>
    <w:rsid w:val="00FF2337"/>
    <w:rsid w:val="00FF2F6F"/>
    <w:rsid w:val="00FF3E26"/>
    <w:rsid w:val="00FF5F5C"/>
    <w:rsid w:val="00FF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A0530"/>
  <w15:docId w15:val="{E962506A-6A8F-4CBC-B3EF-623FD256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360"/>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016AA2"/>
    <w:pPr>
      <w:tabs>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6001B"/>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paragraph">
    <w:name w:val="paragraph"/>
    <w:basedOn w:val="Normal"/>
    <w:rsid w:val="00C56CF1"/>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C56CF1"/>
  </w:style>
  <w:style w:type="character" w:customStyle="1" w:styleId="eop">
    <w:name w:val="eop"/>
    <w:basedOn w:val="DefaultParagraphFont"/>
    <w:rsid w:val="00C56CF1"/>
  </w:style>
  <w:style w:type="paragraph" w:styleId="ListParagraph">
    <w:name w:val="List Paragraph"/>
    <w:basedOn w:val="Normal"/>
    <w:uiPriority w:val="34"/>
    <w:rsid w:val="00457852"/>
    <w:pPr>
      <w:ind w:left="720"/>
      <w:contextualSpacing/>
    </w:pPr>
  </w:style>
  <w:style w:type="table" w:customStyle="1" w:styleId="TableGrid1">
    <w:name w:val="Table Grid1"/>
    <w:basedOn w:val="TableNormal"/>
    <w:rsid w:val="00DF58C6"/>
    <w:rPr>
      <w:rFonts w:ascii="Times" w:hAnsi="Tim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3">
    <w:name w:val="Table Grid123"/>
    <w:basedOn w:val="TableNormal"/>
    <w:uiPriority w:val="59"/>
    <w:rsid w:val="00DF58C6"/>
    <w:rPr>
      <w:rFonts w:ascii="Arial" w:hAnsi="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uiPriority w:val="59"/>
    <w:rsid w:val="00DF58C6"/>
    <w:rPr>
      <w:rFonts w:ascii="Arial" w:hAnsi="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02FBF"/>
    <w:rPr>
      <w:color w:val="605E5C"/>
      <w:shd w:val="clear" w:color="auto" w:fill="E1DFDD"/>
    </w:rPr>
  </w:style>
  <w:style w:type="character" w:customStyle="1" w:styleId="cf01">
    <w:name w:val="cf01"/>
    <w:basedOn w:val="DefaultParagraphFont"/>
    <w:rsid w:val="001D7706"/>
    <w:rPr>
      <w:rFonts w:ascii="Segoe UI" w:hAnsi="Segoe UI" w:cs="Segoe UI" w:hint="default"/>
      <w:sz w:val="18"/>
      <w:szCs w:val="18"/>
    </w:rPr>
  </w:style>
  <w:style w:type="character" w:customStyle="1" w:styleId="cf11">
    <w:name w:val="cf11"/>
    <w:basedOn w:val="DefaultParagraphFont"/>
    <w:rsid w:val="001D7706"/>
    <w:rPr>
      <w:rFonts w:ascii="Segoe UI" w:hAnsi="Segoe UI" w:cs="Segoe UI" w:hint="default"/>
      <w:i/>
      <w:iCs/>
      <w:sz w:val="18"/>
      <w:szCs w:val="18"/>
    </w:rPr>
  </w:style>
  <w:style w:type="paragraph" w:customStyle="1" w:styleId="pf0">
    <w:name w:val="pf0"/>
    <w:basedOn w:val="Normal"/>
    <w:rsid w:val="00656FB2"/>
    <w:pPr>
      <w:widowControl/>
      <w:spacing w:before="100" w:beforeAutospacing="1" w:after="100" w:afterAutospacing="1"/>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08959217">
      <w:bodyDiv w:val="1"/>
      <w:marLeft w:val="0"/>
      <w:marRight w:val="0"/>
      <w:marTop w:val="0"/>
      <w:marBottom w:val="0"/>
      <w:divBdr>
        <w:top w:val="none" w:sz="0" w:space="0" w:color="auto"/>
        <w:left w:val="none" w:sz="0" w:space="0" w:color="auto"/>
        <w:bottom w:val="none" w:sz="0" w:space="0" w:color="auto"/>
        <w:right w:val="none" w:sz="0" w:space="0" w:color="auto"/>
      </w:divBdr>
      <w:divsChild>
        <w:div w:id="297690357">
          <w:marLeft w:val="0"/>
          <w:marRight w:val="0"/>
          <w:marTop w:val="0"/>
          <w:marBottom w:val="0"/>
          <w:divBdr>
            <w:top w:val="none" w:sz="0" w:space="0" w:color="auto"/>
            <w:left w:val="none" w:sz="0" w:space="0" w:color="auto"/>
            <w:bottom w:val="none" w:sz="0" w:space="0" w:color="auto"/>
            <w:right w:val="none" w:sz="0" w:space="0" w:color="auto"/>
          </w:divBdr>
        </w:div>
        <w:div w:id="528760698">
          <w:marLeft w:val="0"/>
          <w:marRight w:val="0"/>
          <w:marTop w:val="0"/>
          <w:marBottom w:val="0"/>
          <w:divBdr>
            <w:top w:val="none" w:sz="0" w:space="0" w:color="auto"/>
            <w:left w:val="none" w:sz="0" w:space="0" w:color="auto"/>
            <w:bottom w:val="none" w:sz="0" w:space="0" w:color="auto"/>
            <w:right w:val="none" w:sz="0" w:space="0" w:color="auto"/>
          </w:divBdr>
        </w:div>
        <w:div w:id="1282296571">
          <w:marLeft w:val="0"/>
          <w:marRight w:val="0"/>
          <w:marTop w:val="0"/>
          <w:marBottom w:val="0"/>
          <w:divBdr>
            <w:top w:val="none" w:sz="0" w:space="0" w:color="auto"/>
            <w:left w:val="none" w:sz="0" w:space="0" w:color="auto"/>
            <w:bottom w:val="none" w:sz="0" w:space="0" w:color="auto"/>
            <w:right w:val="none" w:sz="0" w:space="0" w:color="auto"/>
          </w:divBdr>
        </w:div>
      </w:divsChild>
    </w:div>
    <w:div w:id="322659139">
      <w:bodyDiv w:val="1"/>
      <w:marLeft w:val="0"/>
      <w:marRight w:val="0"/>
      <w:marTop w:val="0"/>
      <w:marBottom w:val="0"/>
      <w:divBdr>
        <w:top w:val="none" w:sz="0" w:space="0" w:color="auto"/>
        <w:left w:val="none" w:sz="0" w:space="0" w:color="auto"/>
        <w:bottom w:val="none" w:sz="0" w:space="0" w:color="auto"/>
        <w:right w:val="none" w:sz="0" w:space="0" w:color="auto"/>
      </w:divBdr>
      <w:divsChild>
        <w:div w:id="978800563">
          <w:marLeft w:val="0"/>
          <w:marRight w:val="0"/>
          <w:marTop w:val="0"/>
          <w:marBottom w:val="0"/>
          <w:divBdr>
            <w:top w:val="none" w:sz="0" w:space="0" w:color="auto"/>
            <w:left w:val="none" w:sz="0" w:space="0" w:color="auto"/>
            <w:bottom w:val="none" w:sz="0" w:space="0" w:color="auto"/>
            <w:right w:val="none" w:sz="0" w:space="0" w:color="auto"/>
          </w:divBdr>
        </w:div>
        <w:div w:id="1137456093">
          <w:marLeft w:val="0"/>
          <w:marRight w:val="0"/>
          <w:marTop w:val="0"/>
          <w:marBottom w:val="0"/>
          <w:divBdr>
            <w:top w:val="none" w:sz="0" w:space="0" w:color="auto"/>
            <w:left w:val="none" w:sz="0" w:space="0" w:color="auto"/>
            <w:bottom w:val="none" w:sz="0" w:space="0" w:color="auto"/>
            <w:right w:val="none" w:sz="0" w:space="0" w:color="auto"/>
          </w:divBdr>
        </w:div>
      </w:divsChild>
    </w:div>
    <w:div w:id="438531737">
      <w:bodyDiv w:val="1"/>
      <w:marLeft w:val="0"/>
      <w:marRight w:val="0"/>
      <w:marTop w:val="0"/>
      <w:marBottom w:val="0"/>
      <w:divBdr>
        <w:top w:val="none" w:sz="0" w:space="0" w:color="auto"/>
        <w:left w:val="none" w:sz="0" w:space="0" w:color="auto"/>
        <w:bottom w:val="none" w:sz="0" w:space="0" w:color="auto"/>
        <w:right w:val="none" w:sz="0" w:space="0" w:color="auto"/>
      </w:divBdr>
      <w:divsChild>
        <w:div w:id="512035720">
          <w:marLeft w:val="0"/>
          <w:marRight w:val="0"/>
          <w:marTop w:val="0"/>
          <w:marBottom w:val="0"/>
          <w:divBdr>
            <w:top w:val="none" w:sz="0" w:space="0" w:color="auto"/>
            <w:left w:val="none" w:sz="0" w:space="0" w:color="auto"/>
            <w:bottom w:val="none" w:sz="0" w:space="0" w:color="auto"/>
            <w:right w:val="none" w:sz="0" w:space="0" w:color="auto"/>
          </w:divBdr>
        </w:div>
        <w:div w:id="647593226">
          <w:marLeft w:val="0"/>
          <w:marRight w:val="0"/>
          <w:marTop w:val="0"/>
          <w:marBottom w:val="0"/>
          <w:divBdr>
            <w:top w:val="none" w:sz="0" w:space="0" w:color="auto"/>
            <w:left w:val="none" w:sz="0" w:space="0" w:color="auto"/>
            <w:bottom w:val="none" w:sz="0" w:space="0" w:color="auto"/>
            <w:right w:val="none" w:sz="0" w:space="0" w:color="auto"/>
          </w:divBdr>
        </w:div>
        <w:div w:id="1594977272">
          <w:marLeft w:val="0"/>
          <w:marRight w:val="0"/>
          <w:marTop w:val="0"/>
          <w:marBottom w:val="0"/>
          <w:divBdr>
            <w:top w:val="none" w:sz="0" w:space="0" w:color="auto"/>
            <w:left w:val="none" w:sz="0" w:space="0" w:color="auto"/>
            <w:bottom w:val="none" w:sz="0" w:space="0" w:color="auto"/>
            <w:right w:val="none" w:sz="0" w:space="0" w:color="auto"/>
          </w:divBdr>
        </w:div>
      </w:divsChild>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41629293">
      <w:bodyDiv w:val="1"/>
      <w:marLeft w:val="0"/>
      <w:marRight w:val="0"/>
      <w:marTop w:val="0"/>
      <w:marBottom w:val="0"/>
      <w:divBdr>
        <w:top w:val="none" w:sz="0" w:space="0" w:color="auto"/>
        <w:left w:val="none" w:sz="0" w:space="0" w:color="auto"/>
        <w:bottom w:val="none" w:sz="0" w:space="0" w:color="auto"/>
        <w:right w:val="none" w:sz="0" w:space="0" w:color="auto"/>
      </w:divBdr>
    </w:div>
    <w:div w:id="155064743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72427809">
      <w:bodyDiv w:val="1"/>
      <w:marLeft w:val="0"/>
      <w:marRight w:val="0"/>
      <w:marTop w:val="0"/>
      <w:marBottom w:val="0"/>
      <w:divBdr>
        <w:top w:val="none" w:sz="0" w:space="0" w:color="auto"/>
        <w:left w:val="none" w:sz="0" w:space="0" w:color="auto"/>
        <w:bottom w:val="none" w:sz="0" w:space="0" w:color="auto"/>
        <w:right w:val="none" w:sz="0" w:space="0" w:color="auto"/>
      </w:divBdr>
    </w:div>
    <w:div w:id="1774015149">
      <w:bodyDiv w:val="1"/>
      <w:marLeft w:val="0"/>
      <w:marRight w:val="0"/>
      <w:marTop w:val="0"/>
      <w:marBottom w:val="0"/>
      <w:divBdr>
        <w:top w:val="none" w:sz="0" w:space="0" w:color="auto"/>
        <w:left w:val="none" w:sz="0" w:space="0" w:color="auto"/>
        <w:bottom w:val="none" w:sz="0" w:space="0" w:color="auto"/>
        <w:right w:val="none" w:sz="0" w:space="0" w:color="auto"/>
      </w:divBdr>
    </w:div>
    <w:div w:id="1787775532">
      <w:bodyDiv w:val="1"/>
      <w:marLeft w:val="0"/>
      <w:marRight w:val="0"/>
      <w:marTop w:val="0"/>
      <w:marBottom w:val="0"/>
      <w:divBdr>
        <w:top w:val="none" w:sz="0" w:space="0" w:color="auto"/>
        <w:left w:val="none" w:sz="0" w:space="0" w:color="auto"/>
        <w:bottom w:val="none" w:sz="0" w:space="0" w:color="auto"/>
        <w:right w:val="none" w:sz="0" w:space="0" w:color="auto"/>
      </w:divBdr>
      <w:divsChild>
        <w:div w:id="651980483">
          <w:marLeft w:val="0"/>
          <w:marRight w:val="0"/>
          <w:marTop w:val="0"/>
          <w:marBottom w:val="0"/>
          <w:divBdr>
            <w:top w:val="none" w:sz="0" w:space="0" w:color="auto"/>
            <w:left w:val="none" w:sz="0" w:space="0" w:color="auto"/>
            <w:bottom w:val="none" w:sz="0" w:space="0" w:color="auto"/>
            <w:right w:val="none" w:sz="0" w:space="0" w:color="auto"/>
          </w:divBdr>
        </w:div>
        <w:div w:id="1088775409">
          <w:marLeft w:val="0"/>
          <w:marRight w:val="0"/>
          <w:marTop w:val="0"/>
          <w:marBottom w:val="0"/>
          <w:divBdr>
            <w:top w:val="none" w:sz="0" w:space="0" w:color="auto"/>
            <w:left w:val="none" w:sz="0" w:space="0" w:color="auto"/>
            <w:bottom w:val="none" w:sz="0" w:space="0" w:color="auto"/>
            <w:right w:val="none" w:sz="0" w:space="0" w:color="auto"/>
          </w:divBdr>
        </w:div>
        <w:div w:id="1385713922">
          <w:marLeft w:val="0"/>
          <w:marRight w:val="0"/>
          <w:marTop w:val="0"/>
          <w:marBottom w:val="0"/>
          <w:divBdr>
            <w:top w:val="none" w:sz="0" w:space="0" w:color="auto"/>
            <w:left w:val="none" w:sz="0" w:space="0" w:color="auto"/>
            <w:bottom w:val="none" w:sz="0" w:space="0" w:color="auto"/>
            <w:right w:val="none" w:sz="0" w:space="0" w:color="auto"/>
          </w:divBdr>
        </w:div>
      </w:divsChild>
    </w:div>
    <w:div w:id="2015761656">
      <w:bodyDiv w:val="1"/>
      <w:marLeft w:val="0"/>
      <w:marRight w:val="0"/>
      <w:marTop w:val="0"/>
      <w:marBottom w:val="0"/>
      <w:divBdr>
        <w:top w:val="none" w:sz="0" w:space="0" w:color="auto"/>
        <w:left w:val="none" w:sz="0" w:space="0" w:color="auto"/>
        <w:bottom w:val="none" w:sz="0" w:space="0" w:color="auto"/>
        <w:right w:val="none" w:sz="0" w:space="0" w:color="auto"/>
      </w:divBdr>
      <w:divsChild>
        <w:div w:id="836775498">
          <w:marLeft w:val="0"/>
          <w:marRight w:val="0"/>
          <w:marTop w:val="0"/>
          <w:marBottom w:val="0"/>
          <w:divBdr>
            <w:top w:val="none" w:sz="0" w:space="0" w:color="auto"/>
            <w:left w:val="none" w:sz="0" w:space="0" w:color="auto"/>
            <w:bottom w:val="none" w:sz="0" w:space="0" w:color="auto"/>
            <w:right w:val="none" w:sz="0" w:space="0" w:color="auto"/>
          </w:divBdr>
        </w:div>
        <w:div w:id="1509521650">
          <w:marLeft w:val="0"/>
          <w:marRight w:val="0"/>
          <w:marTop w:val="0"/>
          <w:marBottom w:val="0"/>
          <w:divBdr>
            <w:top w:val="none" w:sz="0" w:space="0" w:color="auto"/>
            <w:left w:val="none" w:sz="0" w:space="0" w:color="auto"/>
            <w:bottom w:val="none" w:sz="0" w:space="0" w:color="auto"/>
            <w:right w:val="none" w:sz="0" w:space="0" w:color="auto"/>
          </w:divBdr>
        </w:div>
        <w:div w:id="205357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www.govinfo.gov/app/collection/cfr" TargetMode="External"/><Relationship Id="rId39" Type="http://schemas.openxmlformats.org/officeDocument/2006/relationships/hyperlink" Target="https://www.mpi.govt.nz/food-business/seafood-processing-storage-testing/fish-names-labelling-requirements/" TargetMode="External"/><Relationship Id="rId21" Type="http://schemas.openxmlformats.org/officeDocument/2006/relationships/hyperlink" Target="https://infostore.saiglobal.com/en-au/standards/as-5300-2019-111200_saig_as_as_2741382/" TargetMode="External"/><Relationship Id="rId34" Type="http://schemas.openxmlformats.org/officeDocument/2006/relationships/hyperlink" Target="https://www.oiv.int/standards/international-oenological-code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legislation.gov.au" TargetMode="External"/><Relationship Id="rId33" Type="http://schemas.openxmlformats.org/officeDocument/2006/relationships/hyperlink" Target="https://www.fao.org/food/food-safety-quality/scientific-advice/jecfa/jecfa-additives/en/" TargetMode="External"/><Relationship Id="rId38" Type="http://schemas.openxmlformats.org/officeDocument/2006/relationships/hyperlink" Target="https://aus01.safelinks.protection.outlook.com/?url=http%3A%2F%2Fwww.fishnames.com.au%2F&amp;data=05%7C01%7CSharon.Scully%40foodstandards.gov.au%7C7bb426e0519b40f966d308dac91cb426%7C6deea5ad8e7945b888fe895f2bb48673%7C0%7C0%7C638043422367543474%7CUnknown%7CTWFpbGZsb3d8eyJWIjoiMC4wLjAwMDAiLCJQIjoiV2luMzIiLCJBTiI6Ik1haWwiLCJXVCI6Mn0%3D%7C3000%7C%7C%7C&amp;sdata=bDtTctFPd9K%2B5FcGWE6zmGVjal9vDPq3QpmGVvUlQUI%3D&amp;reserved=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yperlink" Target="http://www.fishnames.com.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mpi.govt.nz/food-business/seafood-processing-storage-testing/fish-names-labelling-requirements/" TargetMode="External"/><Relationship Id="rId32" Type="http://schemas.openxmlformats.org/officeDocument/2006/relationships/hyperlink" Target="https://www.legislation.gov.au/Details/F2021L00317" TargetMode="External"/><Relationship Id="rId37" Type="http://schemas.openxmlformats.org/officeDocument/2006/relationships/hyperlink" Target="https://infostore.saiglobal.com/en-au/standards/as-5300-2019-111200_saig_as_as_2741382/"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aus01.safelinks.protection.outlook.com/?url=http%3A%2F%2Fwww.fishnames.com.au%2F&amp;data=05%7C01%7CSharon.Scully%40foodstandards.gov.au%7C7bb426e0519b40f966d308dac91cb426%7C6deea5ad8e7945b888fe895f2bb48673%7C0%7C0%7C638043422367543474%7CUnknown%7CTWFpbGZsb3d8eyJWIjoiMC4wLjAwMDAiLCJQIjoiV2luMzIiLCJBTiI6Ik1haWwiLCJXVCI6Mn0%3D%7C3000%7C%7C%7C&amp;sdata=bDtTctFPd9K%2B5FcGWE6zmGVjal9vDPq3QpmGVvUlQUI%3D&amp;reserved=0" TargetMode="External"/><Relationship Id="rId28" Type="http://schemas.openxmlformats.org/officeDocument/2006/relationships/hyperlink" Target="http://www.fishnames.com.au" TargetMode="External"/><Relationship Id="rId36" Type="http://schemas.openxmlformats.org/officeDocument/2006/relationships/hyperlink" Target="http://www.trove.nla.gov.au/"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nhmrc.gov.au/about-us/publications/australian-drinking-water-guidelin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aus01.safelinks.protection.outlook.com/?url=http%3A%2F%2Fwww.fishnames.com.au%2F&amp;data=05%7C01%7CSharon.Scully%40foodstandards.gov.au%7C7bb426e0519b40f966d308dac91cb426%7C6deea5ad8e7945b888fe895f2bb48673%7C0%7C0%7C638043422367543474%7CUnknown%7CTWFpbGZsb3d8eyJWIjoiMC4wLjAwMDAiLCJQIjoiV2luMzIiLCJBTiI6Ik1haWwiLCJXVCI6Mn0%3D%7C3000%7C%7C%7C&amp;sdata=bDtTctFPd9K%2B5FcGWE6zmGVjal9vDPq3QpmGVvUlQUI%3D&amp;reserved=0" TargetMode="External"/><Relationship Id="rId27" Type="http://schemas.openxmlformats.org/officeDocument/2006/relationships/hyperlink" Target="https://www.femaflavor.org/publications/gras-publications/gras-30" TargetMode="External"/><Relationship Id="rId30" Type="http://schemas.openxmlformats.org/officeDocument/2006/relationships/hyperlink" Target="https://www.legislation.gov.au/Details/F2021L00317" TargetMode="External"/><Relationship Id="rId35" Type="http://schemas.openxmlformats.org/officeDocument/2006/relationships/hyperlink" Target="https://www.foodchemicalscodex.org/"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4</Value>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D218-B993-4E81-A937-E69693F9DEE6}"/>
</file>

<file path=customXml/itemProps2.xml><?xml version="1.0" encoding="utf-8"?>
<ds:datastoreItem xmlns:ds="http://schemas.openxmlformats.org/officeDocument/2006/customXml" ds:itemID="{22184030-5145-48FD-9DE6-1A96FB6C4F26}"/>
</file>

<file path=customXml/itemProps3.xml><?xml version="1.0" encoding="utf-8"?>
<ds:datastoreItem xmlns:ds="http://schemas.openxmlformats.org/officeDocument/2006/customXml" ds:itemID="{881CE113-6ABE-4B58-9A67-1C8B8F7B6709}">
  <ds:schemaRefs>
    <ds:schemaRef ds:uri="http://schemas.microsoft.com/office/2006/metadata/properties"/>
    <ds:schemaRef ds:uri="http://schemas.microsoft.com/office/infopath/2007/PartnerControls"/>
    <ds:schemaRef ds:uri="0e0bee33-077a-46d4-80d5-abd1b3a3b85b"/>
  </ds:schemaRefs>
</ds:datastoreItem>
</file>

<file path=customXml/itemProps4.xml><?xml version="1.0" encoding="utf-8"?>
<ds:datastoreItem xmlns:ds="http://schemas.openxmlformats.org/officeDocument/2006/customXml" ds:itemID="{E4A36EF1-F749-49FC-9560-440923BE962A}"/>
</file>

<file path=customXml/itemProps5.xml><?xml version="1.0" encoding="utf-8"?>
<ds:datastoreItem xmlns:ds="http://schemas.openxmlformats.org/officeDocument/2006/customXml" ds:itemID="{881CE113-6ABE-4B58-9A67-1C8B8F7B6709}"/>
</file>

<file path=customXml/itemProps6.xml><?xml version="1.0" encoding="utf-8"?>
<ds:datastoreItem xmlns:ds="http://schemas.openxmlformats.org/officeDocument/2006/customXml" ds:itemID="{E540D619-74CD-461F-9F14-D4BE7FC58F40}"/>
</file>

<file path=docProps/app.xml><?xml version="1.0" encoding="utf-8"?>
<Properties xmlns="http://schemas.openxmlformats.org/officeDocument/2006/extended-properties" xmlns:vt="http://schemas.openxmlformats.org/officeDocument/2006/docPropsVTypes">
  <Template>Report%20approval</Template>
  <TotalTime>1286</TotalTime>
  <Pages>38</Pages>
  <Words>9224</Words>
  <Characters>53226</Characters>
  <Application>Microsoft Office Word</Application>
  <DocSecurity>0</DocSecurity>
  <Lines>1774</Lines>
  <Paragraphs>1076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61374</CharactersWithSpaces>
  <SharedDoc>false</SharedDoc>
  <HLinks>
    <vt:vector size="234" baseType="variant">
      <vt:variant>
        <vt:i4>7340131</vt:i4>
      </vt:variant>
      <vt:variant>
        <vt:i4>177</vt:i4>
      </vt:variant>
      <vt:variant>
        <vt:i4>0</vt:i4>
      </vt:variant>
      <vt:variant>
        <vt:i4>5</vt:i4>
      </vt:variant>
      <vt:variant>
        <vt:lpwstr>https://www.mpi.govt.nz/food-business/seafood-processing-storage-testing/fish-names-labelling-requirements/</vt:lpwstr>
      </vt:variant>
      <vt:variant>
        <vt:lpwstr/>
      </vt:variant>
      <vt:variant>
        <vt:i4>7798843</vt:i4>
      </vt:variant>
      <vt:variant>
        <vt:i4>174</vt:i4>
      </vt:variant>
      <vt:variant>
        <vt:i4>0</vt:i4>
      </vt:variant>
      <vt:variant>
        <vt:i4>5</vt:i4>
      </vt:variant>
      <vt:variant>
        <vt:lpwstr>https://aus01.safelinks.protection.outlook.com/?url=http%3A%2F%2Fwww.fishnames.com.au%2F&amp;data=05%7C01%7CSharon.Scully%40foodstandards.gov.au%7C7bb426e0519b40f966d308dac91cb426%7C6deea5ad8e7945b888fe895f2bb48673%7C0%7C0%7C638043422367543474%7CUnknown%7CTWFpbGZsb3d8eyJWIjoiMC4wLjAwMDAiLCJQIjoiV2luMzIiLCJBTiI6Ik1haWwiLCJXVCI6Mn0%3D%7C3000%7C%7C%7C&amp;sdata=bDtTctFPd9K%2B5FcGWE6zmGVjal9vDPq3QpmGVvUlQUI%3D&amp;reserved=0</vt:lpwstr>
      </vt:variant>
      <vt:variant>
        <vt:lpwstr/>
      </vt:variant>
      <vt:variant>
        <vt:i4>4128878</vt:i4>
      </vt:variant>
      <vt:variant>
        <vt:i4>171</vt:i4>
      </vt:variant>
      <vt:variant>
        <vt:i4>0</vt:i4>
      </vt:variant>
      <vt:variant>
        <vt:i4>5</vt:i4>
      </vt:variant>
      <vt:variant>
        <vt:lpwstr>https://infostore.saiglobal.com/en-au/standards/as-5300-2019-111200_saig_as_as_2741382/</vt:lpwstr>
      </vt:variant>
      <vt:variant>
        <vt:lpwstr/>
      </vt:variant>
      <vt:variant>
        <vt:i4>327692</vt:i4>
      </vt:variant>
      <vt:variant>
        <vt:i4>168</vt:i4>
      </vt:variant>
      <vt:variant>
        <vt:i4>0</vt:i4>
      </vt:variant>
      <vt:variant>
        <vt:i4>5</vt:i4>
      </vt:variant>
      <vt:variant>
        <vt:lpwstr>http://www.trove.nla.gov.au/</vt:lpwstr>
      </vt:variant>
      <vt:variant>
        <vt:lpwstr/>
      </vt:variant>
      <vt:variant>
        <vt:i4>4063330</vt:i4>
      </vt:variant>
      <vt:variant>
        <vt:i4>165</vt:i4>
      </vt:variant>
      <vt:variant>
        <vt:i4>0</vt:i4>
      </vt:variant>
      <vt:variant>
        <vt:i4>5</vt:i4>
      </vt:variant>
      <vt:variant>
        <vt:lpwstr>https://www.foodchemicalscodex.org/</vt:lpwstr>
      </vt:variant>
      <vt:variant>
        <vt:lpwstr/>
      </vt:variant>
      <vt:variant>
        <vt:i4>393300</vt:i4>
      </vt:variant>
      <vt:variant>
        <vt:i4>162</vt:i4>
      </vt:variant>
      <vt:variant>
        <vt:i4>0</vt:i4>
      </vt:variant>
      <vt:variant>
        <vt:i4>5</vt:i4>
      </vt:variant>
      <vt:variant>
        <vt:lpwstr>https://www.oiv.int/standards/international-oenological-codex</vt:lpwstr>
      </vt:variant>
      <vt:variant>
        <vt:lpwstr/>
      </vt:variant>
      <vt:variant>
        <vt:i4>458764</vt:i4>
      </vt:variant>
      <vt:variant>
        <vt:i4>159</vt:i4>
      </vt:variant>
      <vt:variant>
        <vt:i4>0</vt:i4>
      </vt:variant>
      <vt:variant>
        <vt:i4>5</vt:i4>
      </vt:variant>
      <vt:variant>
        <vt:lpwstr>https://www.fao.org/food/food-safety-quality/scientific-advice/jecfa/jecfa-additives/en/</vt:lpwstr>
      </vt:variant>
      <vt:variant>
        <vt:lpwstr/>
      </vt:variant>
      <vt:variant>
        <vt:i4>7340075</vt:i4>
      </vt:variant>
      <vt:variant>
        <vt:i4>156</vt:i4>
      </vt:variant>
      <vt:variant>
        <vt:i4>0</vt:i4>
      </vt:variant>
      <vt:variant>
        <vt:i4>5</vt:i4>
      </vt:variant>
      <vt:variant>
        <vt:lpwstr>https://www.legislation.gov.au/Details/F2021L00317</vt:lpwstr>
      </vt:variant>
      <vt:variant>
        <vt:lpwstr/>
      </vt:variant>
      <vt:variant>
        <vt:i4>4063356</vt:i4>
      </vt:variant>
      <vt:variant>
        <vt:i4>153</vt:i4>
      </vt:variant>
      <vt:variant>
        <vt:i4>0</vt:i4>
      </vt:variant>
      <vt:variant>
        <vt:i4>5</vt:i4>
      </vt:variant>
      <vt:variant>
        <vt:lpwstr>https://www.nhmrc.gov.au/about-us/publications/australian-drinking-water-guidelines</vt:lpwstr>
      </vt:variant>
      <vt:variant>
        <vt:lpwstr/>
      </vt:variant>
      <vt:variant>
        <vt:i4>7340075</vt:i4>
      </vt:variant>
      <vt:variant>
        <vt:i4>150</vt:i4>
      </vt:variant>
      <vt:variant>
        <vt:i4>0</vt:i4>
      </vt:variant>
      <vt:variant>
        <vt:i4>5</vt:i4>
      </vt:variant>
      <vt:variant>
        <vt:lpwstr>https://www.legislation.gov.au/Details/F2021L00317</vt:lpwstr>
      </vt:variant>
      <vt:variant>
        <vt:lpwstr/>
      </vt:variant>
      <vt:variant>
        <vt:i4>917583</vt:i4>
      </vt:variant>
      <vt:variant>
        <vt:i4>147</vt:i4>
      </vt:variant>
      <vt:variant>
        <vt:i4>0</vt:i4>
      </vt:variant>
      <vt:variant>
        <vt:i4>5</vt:i4>
      </vt:variant>
      <vt:variant>
        <vt:lpwstr>http://www.fishnames.com.au/</vt:lpwstr>
      </vt:variant>
      <vt:variant>
        <vt:lpwstr/>
      </vt:variant>
      <vt:variant>
        <vt:i4>917583</vt:i4>
      </vt:variant>
      <vt:variant>
        <vt:i4>144</vt:i4>
      </vt:variant>
      <vt:variant>
        <vt:i4>0</vt:i4>
      </vt:variant>
      <vt:variant>
        <vt:i4>5</vt:i4>
      </vt:variant>
      <vt:variant>
        <vt:lpwstr>http://www.fishnames.com.au/</vt:lpwstr>
      </vt:variant>
      <vt:variant>
        <vt:lpwstr/>
      </vt:variant>
      <vt:variant>
        <vt:i4>2031696</vt:i4>
      </vt:variant>
      <vt:variant>
        <vt:i4>141</vt:i4>
      </vt:variant>
      <vt:variant>
        <vt:i4>0</vt:i4>
      </vt:variant>
      <vt:variant>
        <vt:i4>5</vt:i4>
      </vt:variant>
      <vt:variant>
        <vt:lpwstr>https://www.femaflavor.org/publications/gras-publications/gras-30</vt:lpwstr>
      </vt:variant>
      <vt:variant>
        <vt:lpwstr/>
      </vt:variant>
      <vt:variant>
        <vt:i4>7274600</vt:i4>
      </vt:variant>
      <vt:variant>
        <vt:i4>138</vt:i4>
      </vt:variant>
      <vt:variant>
        <vt:i4>0</vt:i4>
      </vt:variant>
      <vt:variant>
        <vt:i4>5</vt:i4>
      </vt:variant>
      <vt:variant>
        <vt:lpwstr>https://www.govinfo.gov/app/collection/cfr</vt:lpwstr>
      </vt:variant>
      <vt:variant>
        <vt:lpwstr/>
      </vt:variant>
      <vt:variant>
        <vt:i4>6946865</vt:i4>
      </vt:variant>
      <vt:variant>
        <vt:i4>135</vt:i4>
      </vt:variant>
      <vt:variant>
        <vt:i4>0</vt:i4>
      </vt:variant>
      <vt:variant>
        <vt:i4>5</vt:i4>
      </vt:variant>
      <vt:variant>
        <vt:lpwstr>http://www.legislation.gov.au/</vt:lpwstr>
      </vt:variant>
      <vt:variant>
        <vt:lpwstr/>
      </vt:variant>
      <vt:variant>
        <vt:i4>7340131</vt:i4>
      </vt:variant>
      <vt:variant>
        <vt:i4>132</vt:i4>
      </vt:variant>
      <vt:variant>
        <vt:i4>0</vt:i4>
      </vt:variant>
      <vt:variant>
        <vt:i4>5</vt:i4>
      </vt:variant>
      <vt:variant>
        <vt:lpwstr>https://www.mpi.govt.nz/food-business/seafood-processing-storage-testing/fish-names-labelling-requirements/</vt:lpwstr>
      </vt:variant>
      <vt:variant>
        <vt:lpwstr/>
      </vt:variant>
      <vt:variant>
        <vt:i4>7798843</vt:i4>
      </vt:variant>
      <vt:variant>
        <vt:i4>129</vt:i4>
      </vt:variant>
      <vt:variant>
        <vt:i4>0</vt:i4>
      </vt:variant>
      <vt:variant>
        <vt:i4>5</vt:i4>
      </vt:variant>
      <vt:variant>
        <vt:lpwstr>https://aus01.safelinks.protection.outlook.com/?url=http%3A%2F%2Fwww.fishnames.com.au%2F&amp;data=05%7C01%7CSharon.Scully%40foodstandards.gov.au%7C7bb426e0519b40f966d308dac91cb426%7C6deea5ad8e7945b888fe895f2bb48673%7C0%7C0%7C638043422367543474%7CUnknown%7CTWFpbGZsb3d8eyJWIjoiMC4wLjAwMDAiLCJQIjoiV2luMzIiLCJBTiI6Ik1haWwiLCJXVCI6Mn0%3D%7C3000%7C%7C%7C&amp;sdata=bDtTctFPd9K%2B5FcGWE6zmGVjal9vDPq3QpmGVvUlQUI%3D&amp;reserved=0</vt:lpwstr>
      </vt:variant>
      <vt:variant>
        <vt:lpwstr/>
      </vt:variant>
      <vt:variant>
        <vt:i4>7798843</vt:i4>
      </vt:variant>
      <vt:variant>
        <vt:i4>126</vt:i4>
      </vt:variant>
      <vt:variant>
        <vt:i4>0</vt:i4>
      </vt:variant>
      <vt:variant>
        <vt:i4>5</vt:i4>
      </vt:variant>
      <vt:variant>
        <vt:lpwstr>https://aus01.safelinks.protection.outlook.com/?url=http%3A%2F%2Fwww.fishnames.com.au%2F&amp;data=05%7C01%7CSharon.Scully%40foodstandards.gov.au%7C7bb426e0519b40f966d308dac91cb426%7C6deea5ad8e7945b888fe895f2bb48673%7C0%7C0%7C638043422367543474%7CUnknown%7CTWFpbGZsb3d8eyJWIjoiMC4wLjAwMDAiLCJQIjoiV2luMzIiLCJBTiI6Ik1haWwiLCJXVCI6Mn0%3D%7C3000%7C%7C%7C&amp;sdata=bDtTctFPd9K%2B5FcGWE6zmGVjal9vDPq3QpmGVvUlQUI%3D&amp;reserved=0</vt:lpwstr>
      </vt:variant>
      <vt:variant>
        <vt:lpwstr/>
      </vt:variant>
      <vt:variant>
        <vt:i4>4128878</vt:i4>
      </vt:variant>
      <vt:variant>
        <vt:i4>123</vt:i4>
      </vt:variant>
      <vt:variant>
        <vt:i4>0</vt:i4>
      </vt:variant>
      <vt:variant>
        <vt:i4>5</vt:i4>
      </vt:variant>
      <vt:variant>
        <vt:lpwstr>https://infostore.saiglobal.com/en-au/standards/as-5300-2019-111200_saig_as_as_2741382/</vt:lpwstr>
      </vt:variant>
      <vt:variant>
        <vt:lpwstr/>
      </vt:variant>
      <vt:variant>
        <vt:i4>1638450</vt:i4>
      </vt:variant>
      <vt:variant>
        <vt:i4>116</vt:i4>
      </vt:variant>
      <vt:variant>
        <vt:i4>0</vt:i4>
      </vt:variant>
      <vt:variant>
        <vt:i4>5</vt:i4>
      </vt:variant>
      <vt:variant>
        <vt:lpwstr/>
      </vt:variant>
      <vt:variant>
        <vt:lpwstr>_Toc134451287</vt:lpwstr>
      </vt:variant>
      <vt:variant>
        <vt:i4>1638450</vt:i4>
      </vt:variant>
      <vt:variant>
        <vt:i4>110</vt:i4>
      </vt:variant>
      <vt:variant>
        <vt:i4>0</vt:i4>
      </vt:variant>
      <vt:variant>
        <vt:i4>5</vt:i4>
      </vt:variant>
      <vt:variant>
        <vt:lpwstr/>
      </vt:variant>
      <vt:variant>
        <vt:lpwstr>_Toc134451286</vt:lpwstr>
      </vt:variant>
      <vt:variant>
        <vt:i4>1638450</vt:i4>
      </vt:variant>
      <vt:variant>
        <vt:i4>104</vt:i4>
      </vt:variant>
      <vt:variant>
        <vt:i4>0</vt:i4>
      </vt:variant>
      <vt:variant>
        <vt:i4>5</vt:i4>
      </vt:variant>
      <vt:variant>
        <vt:lpwstr/>
      </vt:variant>
      <vt:variant>
        <vt:lpwstr>_Toc134451285</vt:lpwstr>
      </vt:variant>
      <vt:variant>
        <vt:i4>1638450</vt:i4>
      </vt:variant>
      <vt:variant>
        <vt:i4>98</vt:i4>
      </vt:variant>
      <vt:variant>
        <vt:i4>0</vt:i4>
      </vt:variant>
      <vt:variant>
        <vt:i4>5</vt:i4>
      </vt:variant>
      <vt:variant>
        <vt:lpwstr/>
      </vt:variant>
      <vt:variant>
        <vt:lpwstr>_Toc134451284</vt:lpwstr>
      </vt:variant>
      <vt:variant>
        <vt:i4>1638450</vt:i4>
      </vt:variant>
      <vt:variant>
        <vt:i4>92</vt:i4>
      </vt:variant>
      <vt:variant>
        <vt:i4>0</vt:i4>
      </vt:variant>
      <vt:variant>
        <vt:i4>5</vt:i4>
      </vt:variant>
      <vt:variant>
        <vt:lpwstr/>
      </vt:variant>
      <vt:variant>
        <vt:lpwstr>_Toc134451283</vt:lpwstr>
      </vt:variant>
      <vt:variant>
        <vt:i4>1638450</vt:i4>
      </vt:variant>
      <vt:variant>
        <vt:i4>86</vt:i4>
      </vt:variant>
      <vt:variant>
        <vt:i4>0</vt:i4>
      </vt:variant>
      <vt:variant>
        <vt:i4>5</vt:i4>
      </vt:variant>
      <vt:variant>
        <vt:lpwstr/>
      </vt:variant>
      <vt:variant>
        <vt:lpwstr>_Toc134451282</vt:lpwstr>
      </vt:variant>
      <vt:variant>
        <vt:i4>1638450</vt:i4>
      </vt:variant>
      <vt:variant>
        <vt:i4>80</vt:i4>
      </vt:variant>
      <vt:variant>
        <vt:i4>0</vt:i4>
      </vt:variant>
      <vt:variant>
        <vt:i4>5</vt:i4>
      </vt:variant>
      <vt:variant>
        <vt:lpwstr/>
      </vt:variant>
      <vt:variant>
        <vt:lpwstr>_Toc134451281</vt:lpwstr>
      </vt:variant>
      <vt:variant>
        <vt:i4>1638450</vt:i4>
      </vt:variant>
      <vt:variant>
        <vt:i4>74</vt:i4>
      </vt:variant>
      <vt:variant>
        <vt:i4>0</vt:i4>
      </vt:variant>
      <vt:variant>
        <vt:i4>5</vt:i4>
      </vt:variant>
      <vt:variant>
        <vt:lpwstr/>
      </vt:variant>
      <vt:variant>
        <vt:lpwstr>_Toc134451280</vt:lpwstr>
      </vt:variant>
      <vt:variant>
        <vt:i4>1441842</vt:i4>
      </vt:variant>
      <vt:variant>
        <vt:i4>68</vt:i4>
      </vt:variant>
      <vt:variant>
        <vt:i4>0</vt:i4>
      </vt:variant>
      <vt:variant>
        <vt:i4>5</vt:i4>
      </vt:variant>
      <vt:variant>
        <vt:lpwstr/>
      </vt:variant>
      <vt:variant>
        <vt:lpwstr>_Toc134451279</vt:lpwstr>
      </vt:variant>
      <vt:variant>
        <vt:i4>1441842</vt:i4>
      </vt:variant>
      <vt:variant>
        <vt:i4>62</vt:i4>
      </vt:variant>
      <vt:variant>
        <vt:i4>0</vt:i4>
      </vt:variant>
      <vt:variant>
        <vt:i4>5</vt:i4>
      </vt:variant>
      <vt:variant>
        <vt:lpwstr/>
      </vt:variant>
      <vt:variant>
        <vt:lpwstr>_Toc134451278</vt:lpwstr>
      </vt:variant>
      <vt:variant>
        <vt:i4>1441842</vt:i4>
      </vt:variant>
      <vt:variant>
        <vt:i4>56</vt:i4>
      </vt:variant>
      <vt:variant>
        <vt:i4>0</vt:i4>
      </vt:variant>
      <vt:variant>
        <vt:i4>5</vt:i4>
      </vt:variant>
      <vt:variant>
        <vt:lpwstr/>
      </vt:variant>
      <vt:variant>
        <vt:lpwstr>_Toc134451277</vt:lpwstr>
      </vt:variant>
      <vt:variant>
        <vt:i4>1441842</vt:i4>
      </vt:variant>
      <vt:variant>
        <vt:i4>50</vt:i4>
      </vt:variant>
      <vt:variant>
        <vt:i4>0</vt:i4>
      </vt:variant>
      <vt:variant>
        <vt:i4>5</vt:i4>
      </vt:variant>
      <vt:variant>
        <vt:lpwstr/>
      </vt:variant>
      <vt:variant>
        <vt:lpwstr>_Toc134451276</vt:lpwstr>
      </vt:variant>
      <vt:variant>
        <vt:i4>1441842</vt:i4>
      </vt:variant>
      <vt:variant>
        <vt:i4>44</vt:i4>
      </vt:variant>
      <vt:variant>
        <vt:i4>0</vt:i4>
      </vt:variant>
      <vt:variant>
        <vt:i4>5</vt:i4>
      </vt:variant>
      <vt:variant>
        <vt:lpwstr/>
      </vt:variant>
      <vt:variant>
        <vt:lpwstr>_Toc134451275</vt:lpwstr>
      </vt:variant>
      <vt:variant>
        <vt:i4>1441842</vt:i4>
      </vt:variant>
      <vt:variant>
        <vt:i4>38</vt:i4>
      </vt:variant>
      <vt:variant>
        <vt:i4>0</vt:i4>
      </vt:variant>
      <vt:variant>
        <vt:i4>5</vt:i4>
      </vt:variant>
      <vt:variant>
        <vt:lpwstr/>
      </vt:variant>
      <vt:variant>
        <vt:lpwstr>_Toc134451274</vt:lpwstr>
      </vt:variant>
      <vt:variant>
        <vt:i4>1441842</vt:i4>
      </vt:variant>
      <vt:variant>
        <vt:i4>32</vt:i4>
      </vt:variant>
      <vt:variant>
        <vt:i4>0</vt:i4>
      </vt:variant>
      <vt:variant>
        <vt:i4>5</vt:i4>
      </vt:variant>
      <vt:variant>
        <vt:lpwstr/>
      </vt:variant>
      <vt:variant>
        <vt:lpwstr>_Toc134451273</vt:lpwstr>
      </vt:variant>
      <vt:variant>
        <vt:i4>1441842</vt:i4>
      </vt:variant>
      <vt:variant>
        <vt:i4>26</vt:i4>
      </vt:variant>
      <vt:variant>
        <vt:i4>0</vt:i4>
      </vt:variant>
      <vt:variant>
        <vt:i4>5</vt:i4>
      </vt:variant>
      <vt:variant>
        <vt:lpwstr/>
      </vt:variant>
      <vt:variant>
        <vt:lpwstr>_Toc134451272</vt:lpwstr>
      </vt:variant>
      <vt:variant>
        <vt:i4>1441842</vt:i4>
      </vt:variant>
      <vt:variant>
        <vt:i4>20</vt:i4>
      </vt:variant>
      <vt:variant>
        <vt:i4>0</vt:i4>
      </vt:variant>
      <vt:variant>
        <vt:i4>5</vt:i4>
      </vt:variant>
      <vt:variant>
        <vt:lpwstr/>
      </vt:variant>
      <vt:variant>
        <vt:lpwstr>_Toc134451271</vt:lpwstr>
      </vt:variant>
      <vt:variant>
        <vt:i4>1441842</vt:i4>
      </vt:variant>
      <vt:variant>
        <vt:i4>14</vt:i4>
      </vt:variant>
      <vt:variant>
        <vt:i4>0</vt:i4>
      </vt:variant>
      <vt:variant>
        <vt:i4>5</vt:i4>
      </vt:variant>
      <vt:variant>
        <vt:lpwstr/>
      </vt:variant>
      <vt:variant>
        <vt:lpwstr>_Toc134451270</vt:lpwstr>
      </vt:variant>
      <vt:variant>
        <vt:i4>1507378</vt:i4>
      </vt:variant>
      <vt:variant>
        <vt:i4>8</vt:i4>
      </vt:variant>
      <vt:variant>
        <vt:i4>0</vt:i4>
      </vt:variant>
      <vt:variant>
        <vt:i4>5</vt:i4>
      </vt:variant>
      <vt:variant>
        <vt:lpwstr/>
      </vt:variant>
      <vt:variant>
        <vt:lpwstr>_Toc134451269</vt:lpwstr>
      </vt:variant>
      <vt:variant>
        <vt:i4>1507378</vt:i4>
      </vt:variant>
      <vt:variant>
        <vt:i4>2</vt:i4>
      </vt:variant>
      <vt:variant>
        <vt:i4>0</vt:i4>
      </vt:variant>
      <vt:variant>
        <vt:i4>5</vt:i4>
      </vt:variant>
      <vt:variant>
        <vt:lpwstr/>
      </vt:variant>
      <vt:variant>
        <vt:lpwstr>_Toc134451268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sculls</dc:creator>
  <cp:keywords>[SEC=UNOFFICIAL]</cp:keywords>
  <cp:lastModifiedBy>Sally Ronaldson</cp:lastModifiedBy>
  <cp:revision>178</cp:revision>
  <cp:lastPrinted>2023-05-09T03:36:00Z</cp:lastPrinted>
  <dcterms:created xsi:type="dcterms:W3CDTF">2023-02-16T17:52:00Z</dcterms:created>
  <dcterms:modified xsi:type="dcterms:W3CDTF">2023-05-09T03:36:00Z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b3c446a5-db7f-4643-bc06-e33f24ef986a</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0x010100FB86A4CA77FAD24FB4C8632D8CBF0C4A</vt:lpwstr>
  </property>
  <property fmtid="{D5CDD505-2E9C-101B-9397-08002B2CF9AE}" pid="15" name="pd3a3559ef84480a8025c4c7bb6e6dee">
    <vt:lpwstr/>
  </property>
  <property fmtid="{D5CDD505-2E9C-101B-9397-08002B2CF9AE}" pid="16" name="h46016694f704d158a57d0b5238c000e">
    <vt:lpwstr/>
  </property>
  <property fmtid="{D5CDD505-2E9C-101B-9397-08002B2CF9AE}" pid="17" name="Data_x0020_Privacy">
    <vt:lpwstr/>
  </property>
  <property fmtid="{D5CDD505-2E9C-101B-9397-08002B2CF9AE}" pid="18" name="Data Privacy">
    <vt:lpwstr/>
  </property>
  <property fmtid="{D5CDD505-2E9C-101B-9397-08002B2CF9AE}" pid="19" name="MediaServiceImageTags">
    <vt:lpwstr/>
  </property>
  <property fmtid="{D5CDD505-2E9C-101B-9397-08002B2CF9AE}" pid="20" name="Data Accessibility">
    <vt:lpwstr/>
  </property>
  <property fmtid="{D5CDD505-2E9C-101B-9397-08002B2CF9AE}" pid="21" name="BCS">
    <vt:lpwstr>4;#Evaluation|43cb9915-dbd2-4e45-b39d-7bc5c58c72da</vt:lpwstr>
  </property>
  <property fmtid="{D5CDD505-2E9C-101B-9397-08002B2CF9AE}" pid="22" name="Access">
    <vt:lpwstr/>
  </property>
  <property fmtid="{D5CDD505-2E9C-101B-9397-08002B2CF9AE}" pid="23" name="Data_x0020_Category">
    <vt:lpwstr/>
  </property>
  <property fmtid="{D5CDD505-2E9C-101B-9397-08002B2CF9AE}" pid="24" name="Classification">
    <vt:lpwstr>1;#OFFICIAL|3776503d-ed4e-4d70-8dfd-8e17b238523b</vt:lpwstr>
  </property>
  <property fmtid="{D5CDD505-2E9C-101B-9397-08002B2CF9AE}" pid="25" name="Data_x0020_Accessibility">
    <vt:lpwstr/>
  </property>
  <property fmtid="{D5CDD505-2E9C-101B-9397-08002B2CF9AE}" pid="26" name="o2e94e0b7bb742308b3aec7384781dc0">
    <vt:lpwstr/>
  </property>
  <property fmtid="{D5CDD505-2E9C-101B-9397-08002B2CF9AE}" pid="27" name="Data Category">
    <vt:lpwstr/>
  </property>
  <property fmtid="{D5CDD505-2E9C-101B-9397-08002B2CF9AE}" pid="28" name="lcf76f155ced4ddcb4097134ff3c332f">
    <vt:lpwstr/>
  </property>
  <property fmtid="{D5CDD505-2E9C-101B-9397-08002B2CF9AE}" pid="29" name="Data Owner and Authority">
    <vt:lpwstr/>
  </property>
  <property fmtid="{D5CDD505-2E9C-101B-9397-08002B2CF9AE}" pid="30" name="Data Description">
    <vt:lpwstr/>
  </property>
  <property fmtid="{D5CDD505-2E9C-101B-9397-08002B2CF9AE}" pid="31" name="xd_ProgID">
    <vt:lpwstr/>
  </property>
  <property fmtid="{D5CDD505-2E9C-101B-9397-08002B2CF9AE}" pid="32" name="Data Database Location">
    <vt:lpwstr/>
  </property>
  <property fmtid="{D5CDD505-2E9C-101B-9397-08002B2CF9AE}" pid="33" name="ComplianceAssetId">
    <vt:lpwstr/>
  </property>
  <property fmtid="{D5CDD505-2E9C-101B-9397-08002B2CF9AE}" pid="34" name="TemplateUrl">
    <vt:lpwstr/>
  </property>
  <property fmtid="{D5CDD505-2E9C-101B-9397-08002B2CF9AE}" pid="35" name="Data Origin">
    <vt:lpwstr/>
  </property>
  <property fmtid="{D5CDD505-2E9C-101B-9397-08002B2CF9AE}" pid="36" name="_ExtendedDescription">
    <vt:lpwstr/>
  </property>
  <property fmtid="{D5CDD505-2E9C-101B-9397-08002B2CF9AE}" pid="37" name="TriggerFlowInfo">
    <vt:lpwstr/>
  </property>
  <property fmtid="{D5CDD505-2E9C-101B-9397-08002B2CF9AE}" pid="38" name="Data Machine Readable">
    <vt:bool>false</vt:bool>
  </property>
  <property fmtid="{D5CDD505-2E9C-101B-9397-08002B2CF9AE}" pid="39" name="xd_Signature">
    <vt:bool>false</vt:bool>
  </property>
  <property fmtid="{D5CDD505-2E9C-101B-9397-08002B2CF9AE}" pid="40" name="Data Custodian">
    <vt:lpwstr/>
  </property>
  <property fmtid="{D5CDD505-2E9C-101B-9397-08002B2CF9AE}" pid="41" name="Data Quality">
    <vt:lpwstr/>
  </property>
  <property fmtid="{D5CDD505-2E9C-101B-9397-08002B2CF9AE}" pid="42" name="Summary Document">
    <vt:lpwstr/>
  </property>
  <property fmtid="{D5CDD505-2E9C-101B-9397-08002B2CF9AE}" pid="43" name="PM_Namespace">
    <vt:lpwstr>gov.au</vt:lpwstr>
  </property>
  <property fmtid="{D5CDD505-2E9C-101B-9397-08002B2CF9AE}" pid="44" name="PM_Caveats_Count">
    <vt:lpwstr>0</vt:lpwstr>
  </property>
  <property fmtid="{D5CDD505-2E9C-101B-9397-08002B2CF9AE}" pid="45" name="PM_Version">
    <vt:lpwstr>2018.4</vt:lpwstr>
  </property>
  <property fmtid="{D5CDD505-2E9C-101B-9397-08002B2CF9AE}" pid="46" name="PM_Note">
    <vt:lpwstr/>
  </property>
  <property fmtid="{D5CDD505-2E9C-101B-9397-08002B2CF9AE}" pid="47" name="PMHMAC">
    <vt:lpwstr>v=2022.1;a=SHA256;h=A2B0B244DCDAAD9B3AC58DC653480C650FB9969578FA47DD7CDAFEB56EAF945D</vt:lpwstr>
  </property>
  <property fmtid="{D5CDD505-2E9C-101B-9397-08002B2CF9AE}" pid="48" name="PM_Qualifier">
    <vt:lpwstr/>
  </property>
  <property fmtid="{D5CDD505-2E9C-101B-9397-08002B2CF9AE}" pid="49" name="PM_SecurityClassification">
    <vt:lpwstr>UNOFFICIAL</vt:lpwstr>
  </property>
  <property fmtid="{D5CDD505-2E9C-101B-9397-08002B2CF9AE}" pid="50" name="PM_ProtectiveMarkingValue_Header">
    <vt:lpwstr>UNOFFICIAL</vt:lpwstr>
  </property>
  <property fmtid="{D5CDD505-2E9C-101B-9397-08002B2CF9AE}" pid="51" name="PM_OriginationTimeStamp">
    <vt:lpwstr>2023-05-09T03:35:48Z</vt:lpwstr>
  </property>
  <property fmtid="{D5CDD505-2E9C-101B-9397-08002B2CF9AE}" pid="52" name="PM_Markers">
    <vt:lpwstr/>
  </property>
  <property fmtid="{D5CDD505-2E9C-101B-9397-08002B2CF9AE}" pid="53" name="PM_InsertionValue">
    <vt:lpwstr>UNOFFICIAL</vt:lpwstr>
  </property>
  <property fmtid="{D5CDD505-2E9C-101B-9397-08002B2CF9AE}" pid="54" name="PM_Originator_Hash_SHA1">
    <vt:lpwstr>302BDBAD982F50293CEAD423BE77B1CA40A20CFD</vt:lpwstr>
  </property>
  <property fmtid="{D5CDD505-2E9C-101B-9397-08002B2CF9AE}" pid="55" name="PM_DisplayValueSecClassificationWithQualifier">
    <vt:lpwstr>UNOFFICIAL</vt:lpwstr>
  </property>
  <property fmtid="{D5CDD505-2E9C-101B-9397-08002B2CF9AE}" pid="56" name="PM_Originating_FileId">
    <vt:lpwstr>400D785EFC3246DD87F24C0FCDECB6D6</vt:lpwstr>
  </property>
  <property fmtid="{D5CDD505-2E9C-101B-9397-08002B2CF9AE}" pid="57" name="PM_ProtectiveMarkingValue_Footer">
    <vt:lpwstr>UNOFFICIAL</vt:lpwstr>
  </property>
  <property fmtid="{D5CDD505-2E9C-101B-9397-08002B2CF9AE}" pid="58" name="PM_ProtectiveMarkingImage_Header">
    <vt:lpwstr>C:\Program Files\Common Files\janusNET Shared\janusSEAL\Images\DocumentSlashBlue.png</vt:lpwstr>
  </property>
  <property fmtid="{D5CDD505-2E9C-101B-9397-08002B2CF9AE}" pid="59" name="PM_ProtectiveMarkingImage_Footer">
    <vt:lpwstr>C:\Program Files\Common Files\janusNET Shared\janusSEAL\Images\DocumentSlashBlue.png</vt:lpwstr>
  </property>
  <property fmtid="{D5CDD505-2E9C-101B-9397-08002B2CF9AE}" pid="60" name="PM_Display">
    <vt:lpwstr>UNOFFICIAL</vt:lpwstr>
  </property>
  <property fmtid="{D5CDD505-2E9C-101B-9397-08002B2CF9AE}" pid="61" name="PM_OriginatorUserAccountName_SHA256">
    <vt:lpwstr>04BEB04951CF9C0309220DC261A43CF887B145345D33A4BC1A2FC1C39C61A0F4</vt:lpwstr>
  </property>
  <property fmtid="{D5CDD505-2E9C-101B-9397-08002B2CF9AE}" pid="62" name="PM_OriginatorDomainName_SHA256">
    <vt:lpwstr>1728E66681E435764AE865ABE664C38F2A2F6D4B1DC4AC4803028F4FC406745D</vt:lpwstr>
  </property>
  <property fmtid="{D5CDD505-2E9C-101B-9397-08002B2CF9AE}" pid="63" name="PMUuid">
    <vt:lpwstr>v=2022.2;d=gov.au;g=65417EFE-F3B9-5E66-BD91-1E689FEC2EA6</vt:lpwstr>
  </property>
  <property fmtid="{D5CDD505-2E9C-101B-9397-08002B2CF9AE}" pid="64" name="PM_Hash_Version">
    <vt:lpwstr>2022.1</vt:lpwstr>
  </property>
  <property fmtid="{D5CDD505-2E9C-101B-9397-08002B2CF9AE}" pid="65" name="PM_Hash_Salt_Prev">
    <vt:lpwstr>657A7A7E75B0AE3A83DB1D4227F8D9CB</vt:lpwstr>
  </property>
  <property fmtid="{D5CDD505-2E9C-101B-9397-08002B2CF9AE}" pid="66" name="PM_Hash_Salt">
    <vt:lpwstr>14743FED9E1A35692A1566A1A4FD3BEF</vt:lpwstr>
  </property>
  <property fmtid="{D5CDD505-2E9C-101B-9397-08002B2CF9AE}" pid="67" name="PM_Hash_SHA1">
    <vt:lpwstr>F360D9CABBFC346C17ED7CFC1737D5C8AC0C1019</vt:lpwstr>
  </property>
  <property fmtid="{D5CDD505-2E9C-101B-9397-08002B2CF9AE}" pid="68" name="PM_SecurityClassification_Prev">
    <vt:lpwstr>OFFICIAL</vt:lpwstr>
  </property>
  <property fmtid="{D5CDD505-2E9C-101B-9397-08002B2CF9AE}" pid="69" name="PM_Qualifier_Prev">
    <vt:lpwstr/>
  </property>
</Properties>
</file>